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30"/>
          <w:szCs w:val="30"/>
          <w:rtl w:val="0"/>
        </w:rPr>
        <w:t xml:space="preserve">IS MATHEMATICS ANIMATED?</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MARIANA VALDETARO</w:t>
      </w:r>
    </w:p>
    <w:p w:rsidR="00000000" w:rsidDel="00000000" w:rsidP="00000000" w:rsidRDefault="00000000" w:rsidRPr="00000000" w14:paraId="00000004">
      <w:pPr>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850.3937007874015" w:right="854.7244094488196"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8">
      <w:pPr>
        <w:ind w:left="850.3937007874015" w:right="854.7244094488196"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 the context of the </w:t>
      </w:r>
      <w:r w:rsidDel="00000000" w:rsidR="00000000" w:rsidRPr="00000000">
        <w:rPr>
          <w:rFonts w:ascii="Times New Roman" w:cs="Times New Roman" w:eastAsia="Times New Roman" w:hAnsi="Times New Roman"/>
          <w:i w:val="1"/>
          <w:sz w:val="16"/>
          <w:szCs w:val="16"/>
          <w:rtl w:val="0"/>
        </w:rPr>
        <w:t xml:space="preserve">Diverse Intelligences</w:t>
      </w:r>
      <w:r w:rsidDel="00000000" w:rsidR="00000000" w:rsidRPr="00000000">
        <w:rPr>
          <w:rFonts w:ascii="Times New Roman" w:cs="Times New Roman" w:eastAsia="Times New Roman" w:hAnsi="Times New Roman"/>
          <w:sz w:val="16"/>
          <w:szCs w:val="16"/>
          <w:rtl w:val="0"/>
        </w:rPr>
        <w:t xml:space="preserve"> program, facing novel scientific paradigms of a </w:t>
      </w:r>
      <w:r w:rsidDel="00000000" w:rsidR="00000000" w:rsidRPr="00000000">
        <w:rPr>
          <w:rFonts w:ascii="Times New Roman" w:cs="Times New Roman" w:eastAsia="Times New Roman" w:hAnsi="Times New Roman"/>
          <w:i w:val="1"/>
          <w:sz w:val="16"/>
          <w:szCs w:val="16"/>
          <w:rtl w:val="0"/>
        </w:rPr>
        <w:t xml:space="preserve">Technological Approach for Mind Everywhere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Multiscale Competency Architectures</w:t>
      </w:r>
      <w:r w:rsidDel="00000000" w:rsidR="00000000" w:rsidRPr="00000000">
        <w:rPr>
          <w:rFonts w:ascii="Times New Roman" w:cs="Times New Roman" w:eastAsia="Times New Roman" w:hAnsi="Times New Roman"/>
          <w:sz w:val="16"/>
          <w:szCs w:val="16"/>
          <w:rtl w:val="0"/>
        </w:rPr>
        <w:t xml:space="preserve"> for the </w:t>
      </w:r>
      <w:r w:rsidDel="00000000" w:rsidR="00000000" w:rsidRPr="00000000">
        <w:rPr>
          <w:rFonts w:ascii="Times New Roman" w:cs="Times New Roman" w:eastAsia="Times New Roman" w:hAnsi="Times New Roman"/>
          <w:i w:val="1"/>
          <w:sz w:val="16"/>
          <w:szCs w:val="16"/>
          <w:rtl w:val="0"/>
        </w:rPr>
        <w:t xml:space="preserve">Symposium on the Computational Platonic Space Hypothesis, </w:t>
      </w:r>
      <w:r w:rsidDel="00000000" w:rsidR="00000000" w:rsidRPr="00000000">
        <w:rPr>
          <w:rFonts w:ascii="Times New Roman" w:cs="Times New Roman" w:eastAsia="Times New Roman" w:hAnsi="Times New Roman"/>
          <w:sz w:val="16"/>
          <w:szCs w:val="16"/>
          <w:rtl w:val="0"/>
        </w:rPr>
        <w:t xml:space="preserve">being held by Dr. Michael Levin, and Dr. Hananel Hazan, </w:t>
      </w:r>
      <w:r w:rsidDel="00000000" w:rsidR="00000000" w:rsidRPr="00000000">
        <w:rPr>
          <w:rFonts w:ascii="Times New Roman" w:cs="Times New Roman" w:eastAsia="Times New Roman" w:hAnsi="Times New Roman"/>
          <w:i w:val="1"/>
          <w:sz w:val="16"/>
          <w:szCs w:val="16"/>
          <w:rtl w:val="0"/>
        </w:rPr>
        <w:t xml:space="preserve">Levin Lab - Department of Biology</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&amp; Allen Discovery Center at Tufts University</w:t>
      </w:r>
      <w:r w:rsidDel="00000000" w:rsidR="00000000" w:rsidRPr="00000000">
        <w:rPr>
          <w:rFonts w:ascii="Times New Roman" w:cs="Times New Roman" w:eastAsia="Times New Roman" w:hAnsi="Times New Roman"/>
          <w:sz w:val="16"/>
          <w:szCs w:val="16"/>
          <w:rtl w:val="0"/>
        </w:rPr>
        <w:t xml:space="preserve">, Massachusetts, United States, the following is an independent contribution, affiliated from an executive perspective, with the </w:t>
      </w:r>
      <w:r w:rsidDel="00000000" w:rsidR="00000000" w:rsidRPr="00000000">
        <w:rPr>
          <w:rFonts w:ascii="Times New Roman" w:cs="Times New Roman" w:eastAsia="Times New Roman" w:hAnsi="Times New Roman"/>
          <w:i w:val="1"/>
          <w:sz w:val="16"/>
          <w:szCs w:val="16"/>
          <w:rtl w:val="0"/>
        </w:rPr>
        <w:t xml:space="preserve">Society for Multidisciplinary and Fundamental Research</w:t>
      </w:r>
      <w:r w:rsidDel="00000000" w:rsidR="00000000" w:rsidRPr="00000000">
        <w:rPr>
          <w:rFonts w:ascii="Times New Roman" w:cs="Times New Roman" w:eastAsia="Times New Roman" w:hAnsi="Times New Roman"/>
          <w:sz w:val="16"/>
          <w:szCs w:val="16"/>
          <w:rtl w:val="0"/>
        </w:rPr>
        <w:t xml:space="preserve">, a non-profit organisation on Spanish soil. The author, Mariana Valdetaro, with a working background of </w:t>
      </w:r>
      <w:r w:rsidDel="00000000" w:rsidR="00000000" w:rsidRPr="00000000">
        <w:rPr>
          <w:rFonts w:ascii="Times New Roman" w:cs="Times New Roman" w:eastAsia="Times New Roman" w:hAnsi="Times New Roman"/>
          <w:i w:val="1"/>
          <w:sz w:val="16"/>
          <w:szCs w:val="16"/>
          <w:rtl w:val="0"/>
        </w:rPr>
        <w:t xml:space="preserve">R&amp;D</w:t>
      </w:r>
      <w:r w:rsidDel="00000000" w:rsidR="00000000" w:rsidRPr="00000000">
        <w:rPr>
          <w:rFonts w:ascii="Times New Roman" w:cs="Times New Roman" w:eastAsia="Times New Roman" w:hAnsi="Times New Roman"/>
          <w:sz w:val="16"/>
          <w:szCs w:val="16"/>
          <w:rtl w:val="0"/>
        </w:rPr>
        <w:t xml:space="preserve"> in </w:t>
      </w:r>
      <w:r w:rsidDel="00000000" w:rsidR="00000000" w:rsidRPr="00000000">
        <w:rPr>
          <w:rFonts w:ascii="Times New Roman" w:cs="Times New Roman" w:eastAsia="Times New Roman" w:hAnsi="Times New Roman"/>
          <w:i w:val="1"/>
          <w:sz w:val="16"/>
          <w:szCs w:val="16"/>
          <w:rtl w:val="0"/>
        </w:rPr>
        <w:t xml:space="preserve">Telecommunications</w:t>
      </w:r>
      <w:r w:rsidDel="00000000" w:rsidR="00000000" w:rsidRPr="00000000">
        <w:rPr>
          <w:rFonts w:ascii="Times New Roman" w:cs="Times New Roman" w:eastAsia="Times New Roman" w:hAnsi="Times New Roman"/>
          <w:sz w:val="16"/>
          <w:szCs w:val="16"/>
          <w:rtl w:val="0"/>
        </w:rPr>
        <w:t xml:space="preserve">, will discuss the below from </w:t>
      </w:r>
      <w:r w:rsidDel="00000000" w:rsidR="00000000" w:rsidRPr="00000000">
        <w:rPr>
          <w:rFonts w:ascii="Times New Roman" w:cs="Times New Roman" w:eastAsia="Times New Roman" w:hAnsi="Times New Roman"/>
          <w:i w:val="1"/>
          <w:sz w:val="16"/>
          <w:szCs w:val="16"/>
          <w:rtl w:val="0"/>
        </w:rPr>
        <w:t xml:space="preserve">Lisbon, Portugal</w:t>
      </w:r>
      <w:r w:rsidDel="00000000" w:rsidR="00000000" w:rsidRPr="00000000">
        <w:rPr>
          <w:rFonts w:ascii="Times New Roman" w:cs="Times New Roman" w:eastAsia="Times New Roman" w:hAnsi="Times New Roman"/>
          <w:sz w:val="16"/>
          <w:szCs w:val="16"/>
          <w:rtl w:val="0"/>
        </w:rPr>
        <w:t xml:space="preserve">, on the 30</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of September, 2025, within the self-proposed scope of </w:t>
      </w:r>
      <w:r w:rsidDel="00000000" w:rsidR="00000000" w:rsidRPr="00000000">
        <w:rPr>
          <w:rFonts w:ascii="Times New Roman" w:cs="Times New Roman" w:eastAsia="Times New Roman" w:hAnsi="Times New Roman"/>
          <w:i w:val="1"/>
          <w:sz w:val="16"/>
          <w:szCs w:val="16"/>
          <w:rtl w:val="0"/>
        </w:rPr>
        <w:t xml:space="preserve">Theoretical Computer Science, Philosophy &amp; Foundational Mathematics</w:t>
      </w: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09">
      <w:pPr>
        <w:ind w:left="850.3937007874015" w:right="854.7244094488196"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A">
      <w:pPr>
        <w:ind w:left="850.3937007874015" w:right="854.7244094488196" w:firstLine="0"/>
        <w:rPr>
          <w:rFonts w:ascii="Times New Roman" w:cs="Times New Roman" w:eastAsia="Times New Roman" w:hAnsi="Times New Roman"/>
          <w:i w:val="1"/>
          <w:sz w:val="14"/>
          <w:szCs w:val="14"/>
        </w:rPr>
      </w:pPr>
      <w:r w:rsidDel="00000000" w:rsidR="00000000" w:rsidRPr="00000000">
        <w:rPr>
          <w:rFonts w:ascii="Times New Roman" w:cs="Times New Roman" w:eastAsia="Times New Roman" w:hAnsi="Times New Roman"/>
          <w:i w:val="1"/>
          <w:sz w:val="14"/>
          <w:szCs w:val="14"/>
          <w:rtl w:val="0"/>
        </w:rPr>
        <w:t xml:space="preserve">Timestamped September 9, 2025</w:t>
      </w:r>
    </w:p>
    <w:p w:rsidR="00000000" w:rsidDel="00000000" w:rsidP="00000000" w:rsidRDefault="00000000" w:rsidRPr="00000000" w14:paraId="0000000B">
      <w:pPr>
        <w:ind w:left="850.3937007874015" w:right="854.7244094488196" w:firstLine="0"/>
        <w:rPr>
          <w:rFonts w:ascii="Times New Roman" w:cs="Times New Roman" w:eastAsia="Times New Roman" w:hAnsi="Times New Roman"/>
          <w:i w:val="1"/>
          <w:sz w:val="14"/>
          <w:szCs w:val="14"/>
        </w:rPr>
      </w:pPr>
      <w:r w:rsidDel="00000000" w:rsidR="00000000" w:rsidRPr="00000000">
        <w:rPr>
          <w:rFonts w:ascii="Times New Roman" w:cs="Times New Roman" w:eastAsia="Times New Roman" w:hAnsi="Times New Roman"/>
          <w:i w:val="1"/>
          <w:sz w:val="14"/>
          <w:szCs w:val="14"/>
          <w:rtl w:val="0"/>
        </w:rPr>
        <w:t xml:space="preserve">Updated September 25, 2025</w:t>
      </w:r>
    </w:p>
    <w:p w:rsidR="00000000" w:rsidDel="00000000" w:rsidP="00000000" w:rsidRDefault="00000000" w:rsidRPr="00000000" w14:paraId="0000000C">
      <w:pPr>
        <w:ind w:left="850.3937007874015" w:right="854.7244094488196" w:firstLine="0"/>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ind w:right="277.7952755905511"/>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EXTENDED </w:t>
      </w: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10">
      <w:pPr>
        <w:ind w:right="27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ind w:right="-279.1338582677156"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As this treatment is preliminary, kindly view it as an exploration towards some humble means to better understand this </w:t>
      </w:r>
      <w:r w:rsidDel="00000000" w:rsidR="00000000" w:rsidRPr="00000000">
        <w:rPr>
          <w:rFonts w:ascii="Times New Roman" w:cs="Times New Roman" w:eastAsia="Times New Roman" w:hAnsi="Times New Roman"/>
          <w:i w:val="1"/>
          <w:rtl w:val="0"/>
        </w:rPr>
        <w:t xml:space="preserve">ensoulment or vitality </w:t>
      </w:r>
      <w:r w:rsidDel="00000000" w:rsidR="00000000" w:rsidRPr="00000000">
        <w:rPr>
          <w:rFonts w:ascii="Times New Roman" w:cs="Times New Roman" w:eastAsia="Times New Roman" w:hAnsi="Times New Roman"/>
          <w:rtl w:val="0"/>
        </w:rPr>
        <w:t xml:space="preserve">of Mathematics. While one could, via the </w:t>
      </w:r>
      <w:r w:rsidDel="00000000" w:rsidR="00000000" w:rsidRPr="00000000">
        <w:rPr>
          <w:rFonts w:ascii="Times New Roman" w:cs="Times New Roman" w:eastAsia="Times New Roman" w:hAnsi="Times New Roman"/>
          <w:i w:val="1"/>
          <w:rtl w:val="0"/>
        </w:rPr>
        <w:t xml:space="preserve">Univalent</w:t>
      </w:r>
      <w:r w:rsidDel="00000000" w:rsidR="00000000" w:rsidRPr="00000000">
        <w:rPr>
          <w:rFonts w:ascii="Times New Roman" w:cs="Times New Roman" w:eastAsia="Times New Roman" w:hAnsi="Times New Roman"/>
          <w:rtl w:val="0"/>
        </w:rPr>
        <w:t xml:space="preserve"> efforts, convey that in order, frequency and equivalence are the foundational means of intensional transformation, pointing to </w:t>
      </w:r>
      <w:r w:rsidDel="00000000" w:rsidR="00000000" w:rsidRPr="00000000">
        <w:rPr>
          <w:rFonts w:ascii="Times New Roman" w:cs="Times New Roman" w:eastAsia="Times New Roman" w:hAnsi="Times New Roman"/>
          <w:i w:val="1"/>
          <w:rtl w:val="0"/>
        </w:rPr>
        <w:t xml:space="preserve">other paradises</w:t>
      </w:r>
      <w:r w:rsidDel="00000000" w:rsidR="00000000" w:rsidRPr="00000000">
        <w:rPr>
          <w:rFonts w:ascii="Times New Roman" w:cs="Times New Roman" w:eastAsia="Times New Roman" w:hAnsi="Times New Roman"/>
          <w:rtl w:val="0"/>
        </w:rPr>
        <w:t xml:space="preserve">, adding to the one left by Cantor, the following concerns less with the formal expression of Mathematics as a </w:t>
      </w:r>
      <w:r w:rsidDel="00000000" w:rsidR="00000000" w:rsidRPr="00000000">
        <w:rPr>
          <w:rFonts w:ascii="Times New Roman" w:cs="Times New Roman" w:eastAsia="Times New Roman" w:hAnsi="Times New Roman"/>
          <w:i w:val="1"/>
          <w:rtl w:val="0"/>
        </w:rPr>
        <w:t xml:space="preserve">practice</w:t>
      </w:r>
      <w:r w:rsidDel="00000000" w:rsidR="00000000" w:rsidRPr="00000000">
        <w:rPr>
          <w:rFonts w:ascii="Times New Roman" w:cs="Times New Roman" w:eastAsia="Times New Roman" w:hAnsi="Times New Roman"/>
          <w:rtl w:val="0"/>
        </w:rPr>
        <w:t xml:space="preserve">, or history. Instead, in focus is what is entailed by </w:t>
      </w:r>
      <w:r w:rsidDel="00000000" w:rsidR="00000000" w:rsidRPr="00000000">
        <w:rPr>
          <w:rFonts w:ascii="Times New Roman" w:cs="Times New Roman" w:eastAsia="Times New Roman" w:hAnsi="Times New Roman"/>
          <w:i w:val="1"/>
          <w:rtl w:val="0"/>
        </w:rPr>
        <w:t xml:space="preserve">reachability.  </w:t>
      </w:r>
    </w:p>
    <w:p w:rsidR="00000000" w:rsidDel="00000000" w:rsidP="00000000" w:rsidRDefault="00000000" w:rsidRPr="00000000" w14:paraId="00000012">
      <w:pPr>
        <w:ind w:right="-279.1338582677156" w:firstLine="72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3">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context of </w:t>
      </w:r>
      <w:r w:rsidDel="00000000" w:rsidR="00000000" w:rsidRPr="00000000">
        <w:rPr>
          <w:rFonts w:ascii="Times New Roman" w:cs="Times New Roman" w:eastAsia="Times New Roman" w:hAnsi="Times New Roman"/>
          <w:i w:val="1"/>
          <w:rtl w:val="0"/>
        </w:rPr>
        <w:t xml:space="preserve">Ingressing Patterns</w:t>
      </w:r>
      <w:r w:rsidDel="00000000" w:rsidR="00000000" w:rsidRPr="00000000">
        <w:rPr>
          <w:rFonts w:ascii="Times New Roman" w:cs="Times New Roman" w:eastAsia="Times New Roman" w:hAnsi="Times New Roman"/>
          <w:rtl w:val="0"/>
        </w:rPr>
        <w:t xml:space="preserve">, and the field of </w:t>
      </w:r>
      <w:r w:rsidDel="00000000" w:rsidR="00000000" w:rsidRPr="00000000">
        <w:rPr>
          <w:rFonts w:ascii="Times New Roman" w:cs="Times New Roman" w:eastAsia="Times New Roman" w:hAnsi="Times New Roman"/>
          <w:i w:val="1"/>
          <w:rtl w:val="0"/>
        </w:rPr>
        <w:t xml:space="preserve">Diverse Intelligences</w:t>
      </w:r>
      <w:r w:rsidDel="00000000" w:rsidR="00000000" w:rsidRPr="00000000">
        <w:rPr>
          <w:rFonts w:ascii="Times New Roman" w:cs="Times New Roman" w:eastAsia="Times New Roman" w:hAnsi="Times New Roman"/>
          <w:rtl w:val="0"/>
        </w:rPr>
        <w:t xml:space="preserve">, is it appropriate to conceptually</w:t>
      </w:r>
      <w:r w:rsidDel="00000000" w:rsidR="00000000" w:rsidRPr="00000000">
        <w:rPr>
          <w:rFonts w:ascii="Times New Roman" w:cs="Times New Roman" w:eastAsia="Times New Roman" w:hAnsi="Times New Roman"/>
          <w:i w:val="1"/>
          <w:rtl w:val="0"/>
        </w:rPr>
        <w:t xml:space="preserve"> resurrect animism</w:t>
      </w:r>
      <w:r w:rsidDel="00000000" w:rsidR="00000000" w:rsidRPr="00000000">
        <w:rPr>
          <w:rFonts w:ascii="Times New Roman" w:cs="Times New Roman" w:eastAsia="Times New Roman" w:hAnsi="Times New Roman"/>
          <w:rtl w:val="0"/>
        </w:rPr>
        <w:t xml:space="preserve">? The informal proposal that </w:t>
      </w:r>
      <w:r w:rsidDel="00000000" w:rsidR="00000000" w:rsidRPr="00000000">
        <w:rPr>
          <w:rFonts w:ascii="Times New Roman" w:cs="Times New Roman" w:eastAsia="Times New Roman" w:hAnsi="Times New Roman"/>
          <w:i w:val="1"/>
          <w:rtl w:val="0"/>
        </w:rPr>
        <w:t xml:space="preserve">Maths</w:t>
      </w:r>
      <w:r w:rsidDel="00000000" w:rsidR="00000000" w:rsidRPr="00000000">
        <w:rPr>
          <w:rFonts w:ascii="Times New Roman" w:cs="Times New Roman" w:eastAsia="Times New Roman" w:hAnsi="Times New Roman"/>
          <w:rtl w:val="0"/>
        </w:rPr>
        <w:t xml:space="preserve"> are to </w:t>
      </w:r>
      <w:r w:rsidDel="00000000" w:rsidR="00000000" w:rsidRPr="00000000">
        <w:rPr>
          <w:rFonts w:ascii="Times New Roman" w:cs="Times New Roman" w:eastAsia="Times New Roman" w:hAnsi="Times New Roman"/>
          <w:i w:val="1"/>
          <w:rtl w:val="0"/>
        </w:rPr>
        <w:t xml:space="preserve">Minds </w:t>
      </w:r>
      <w:r w:rsidDel="00000000" w:rsidR="00000000" w:rsidRPr="00000000">
        <w:rPr>
          <w:rFonts w:ascii="Times New Roman" w:cs="Times New Roman" w:eastAsia="Times New Roman" w:hAnsi="Times New Roman"/>
          <w:rtl w:val="0"/>
        </w:rPr>
        <w:t xml:space="preserve">what these are to the physical structures they inhabit, seem to imply that the former is freedom looking for constraint, to be will, and ladder wilfully </w:t>
      </w:r>
      <w:r w:rsidDel="00000000" w:rsidR="00000000" w:rsidRPr="00000000">
        <w:rPr>
          <w:rFonts w:ascii="Times New Roman" w:cs="Times New Roman" w:eastAsia="Times New Roman" w:hAnsi="Times New Roman"/>
          <w:rtl w:val="0"/>
        </w:rPr>
        <w:t xml:space="preserve">animates </w:t>
      </w:r>
      <w:r w:rsidDel="00000000" w:rsidR="00000000" w:rsidRPr="00000000">
        <w:rPr>
          <w:rFonts w:ascii="Times New Roman" w:cs="Times New Roman" w:eastAsia="Times New Roman" w:hAnsi="Times New Roman"/>
          <w:i w:val="1"/>
          <w:rtl w:val="0"/>
        </w:rPr>
        <w:t xml:space="preserve">reality</w:t>
      </w:r>
      <w:r w:rsidDel="00000000" w:rsidR="00000000" w:rsidRPr="00000000">
        <w:rPr>
          <w:rFonts w:ascii="Times New Roman" w:cs="Times New Roman" w:eastAsia="Times New Roman" w:hAnsi="Times New Roman"/>
          <w:rtl w:val="0"/>
        </w:rPr>
        <w:t xml:space="preserve">. While this is more of a personal interpretation, precisely, the proposal was that Mathematics, as </w:t>
      </w:r>
      <w:r w:rsidDel="00000000" w:rsidR="00000000" w:rsidRPr="00000000">
        <w:rPr>
          <w:rFonts w:ascii="Times New Roman" w:cs="Times New Roman" w:eastAsia="Times New Roman" w:hAnsi="Times New Roman"/>
          <w:i w:val="1"/>
          <w:rtl w:val="0"/>
        </w:rPr>
        <w:t xml:space="preserve">Mathematical Patterns</w:t>
      </w:r>
      <w:r w:rsidDel="00000000" w:rsidR="00000000" w:rsidRPr="00000000">
        <w:rPr>
          <w:rFonts w:ascii="Times New Roman" w:cs="Times New Roman" w:eastAsia="Times New Roman" w:hAnsi="Times New Roman"/>
          <w:rtl w:val="0"/>
        </w:rPr>
        <w:t xml:space="preserve"> seem to animate Physics, while </w:t>
      </w:r>
      <w:r w:rsidDel="00000000" w:rsidR="00000000" w:rsidRPr="00000000">
        <w:rPr>
          <w:rFonts w:ascii="Times New Roman" w:cs="Times New Roman" w:eastAsia="Times New Roman" w:hAnsi="Times New Roman"/>
          <w:i w:val="1"/>
          <w:rtl w:val="0"/>
        </w:rPr>
        <w:t xml:space="preserve">Minds</w:t>
      </w:r>
      <w:r w:rsidDel="00000000" w:rsidR="00000000" w:rsidRPr="00000000">
        <w:rPr>
          <w:rFonts w:ascii="Times New Roman" w:cs="Times New Roman" w:eastAsia="Times New Roman" w:hAnsi="Times New Roman"/>
          <w:rtl w:val="0"/>
        </w:rPr>
        <w:t xml:space="preserve"> seem to animate Biology. One finds here that </w:t>
      </w:r>
      <w:r w:rsidDel="00000000" w:rsidR="00000000" w:rsidRPr="00000000">
        <w:rPr>
          <w:rFonts w:ascii="Times New Roman" w:cs="Times New Roman" w:eastAsia="Times New Roman" w:hAnsi="Times New Roman"/>
          <w:i w:val="1"/>
          <w:rtl w:val="0"/>
        </w:rPr>
        <w:t xml:space="preserve">ensoulment</w:t>
      </w:r>
      <w:r w:rsidDel="00000000" w:rsidR="00000000" w:rsidRPr="00000000">
        <w:rPr>
          <w:rFonts w:ascii="Times New Roman" w:cs="Times New Roman" w:eastAsia="Times New Roman" w:hAnsi="Times New Roman"/>
          <w:rtl w:val="0"/>
        </w:rPr>
        <w:t xml:space="preserve">, which by inhabitance, or to inhabit, as a spatial gap for </w:t>
      </w:r>
      <w:r w:rsidDel="00000000" w:rsidR="00000000" w:rsidRPr="00000000">
        <w:rPr>
          <w:rFonts w:ascii="Times New Roman" w:cs="Times New Roman" w:eastAsia="Times New Roman" w:hAnsi="Times New Roman"/>
          <w:i w:val="1"/>
          <w:rtl w:val="0"/>
        </w:rPr>
        <w:t xml:space="preserve">interiority</w:t>
      </w:r>
      <w:r w:rsidDel="00000000" w:rsidR="00000000" w:rsidRPr="00000000">
        <w:rPr>
          <w:rFonts w:ascii="Times New Roman" w:cs="Times New Roman" w:eastAsia="Times New Roman" w:hAnsi="Times New Roman"/>
          <w:rtl w:val="0"/>
        </w:rPr>
        <w:t xml:space="preserve">, and its counterpart, into a single idea of </w:t>
      </w:r>
      <w:r w:rsidDel="00000000" w:rsidR="00000000" w:rsidRPr="00000000">
        <w:rPr>
          <w:rFonts w:ascii="Times New Roman" w:cs="Times New Roman" w:eastAsia="Times New Roman" w:hAnsi="Times New Roman"/>
          <w:i w:val="1"/>
          <w:rtl w:val="0"/>
        </w:rPr>
        <w:t xml:space="preserve">being</w:t>
      </w:r>
      <w:r w:rsidDel="00000000" w:rsidR="00000000" w:rsidRPr="00000000">
        <w:rPr>
          <w:rFonts w:ascii="Times New Roman" w:cs="Times New Roman" w:eastAsia="Times New Roman" w:hAnsi="Times New Roman"/>
          <w:rtl w:val="0"/>
        </w:rPr>
        <w:t xml:space="preserve">. Anima, related to the Greek – </w:t>
      </w:r>
      <w:r w:rsidDel="00000000" w:rsidR="00000000" w:rsidRPr="00000000">
        <w:rPr>
          <w:rFonts w:ascii="Times New Roman" w:cs="Times New Roman" w:eastAsia="Times New Roman" w:hAnsi="Times New Roman"/>
          <w:i w:val="1"/>
          <w:rtl w:val="0"/>
        </w:rPr>
        <w:t xml:space="preserve">anemos</w:t>
      </w:r>
      <w:r w:rsidDel="00000000" w:rsidR="00000000" w:rsidRPr="00000000">
        <w:rPr>
          <w:rFonts w:ascii="Times New Roman" w:cs="Times New Roman" w:eastAsia="Times New Roman" w:hAnsi="Times New Roman"/>
          <w:i w:val="1"/>
          <w:rtl w:val="0"/>
        </w:rPr>
        <w:t xml:space="preserve"> – </w:t>
      </w:r>
      <w:r w:rsidDel="00000000" w:rsidR="00000000" w:rsidRPr="00000000">
        <w:rPr>
          <w:rFonts w:ascii="Times New Roman" w:cs="Times New Roman" w:eastAsia="Times New Roman" w:hAnsi="Times New Roman"/>
          <w:rtl w:val="0"/>
        </w:rPr>
        <w:t xml:space="preserve">standing for </w:t>
      </w:r>
      <w:r w:rsidDel="00000000" w:rsidR="00000000" w:rsidRPr="00000000">
        <w:rPr>
          <w:rFonts w:ascii="Times New Roman" w:cs="Times New Roman" w:eastAsia="Times New Roman" w:hAnsi="Times New Roman"/>
          <w:i w:val="1"/>
          <w:rtl w:val="0"/>
        </w:rPr>
        <w:t xml:space="preserve">wind</w:t>
      </w:r>
      <w:r w:rsidDel="00000000" w:rsidR="00000000" w:rsidRPr="00000000">
        <w:rPr>
          <w:rFonts w:ascii="Times New Roman" w:cs="Times New Roman" w:eastAsia="Times New Roman" w:hAnsi="Times New Roman"/>
          <w:rtl w:val="0"/>
        </w:rPr>
        <w:t xml:space="preserve">, and in Portuguese – </w:t>
      </w:r>
      <w:r w:rsidDel="00000000" w:rsidR="00000000" w:rsidRPr="00000000">
        <w:rPr>
          <w:rFonts w:ascii="Times New Roman" w:cs="Times New Roman" w:eastAsia="Times New Roman" w:hAnsi="Times New Roman"/>
          <w:i w:val="1"/>
          <w:rtl w:val="0"/>
        </w:rPr>
        <w:t xml:space="preserve">alma </w:t>
      </w:r>
      <w:r w:rsidDel="00000000" w:rsidR="00000000" w:rsidRPr="00000000">
        <w:rPr>
          <w:rFonts w:ascii="Times New Roman" w:cs="Times New Roman" w:eastAsia="Times New Roman" w:hAnsi="Times New Roman"/>
          <w:rtl w:val="0"/>
        </w:rPr>
        <w:t xml:space="preserve">– as the </w:t>
      </w:r>
      <w:r w:rsidDel="00000000" w:rsidR="00000000" w:rsidRPr="00000000">
        <w:rPr>
          <w:rFonts w:ascii="Times New Roman" w:cs="Times New Roman" w:eastAsia="Times New Roman" w:hAnsi="Times New Roman"/>
          <w:i w:val="1"/>
          <w:rtl w:val="0"/>
        </w:rPr>
        <w:t xml:space="preserve">essence</w:t>
      </w:r>
      <w:r w:rsidDel="00000000" w:rsidR="00000000" w:rsidRPr="00000000">
        <w:rPr>
          <w:rFonts w:ascii="Times New Roman" w:cs="Times New Roman" w:eastAsia="Times New Roman" w:hAnsi="Times New Roman"/>
          <w:rtl w:val="0"/>
        </w:rPr>
        <w:t xml:space="preserve">, the immaterial part, which comes from the latin – </w:t>
      </w:r>
      <w:r w:rsidDel="00000000" w:rsidR="00000000" w:rsidRPr="00000000">
        <w:rPr>
          <w:rFonts w:ascii="Times New Roman" w:cs="Times New Roman" w:eastAsia="Times New Roman" w:hAnsi="Times New Roman"/>
          <w:i w:val="1"/>
          <w:rtl w:val="0"/>
        </w:rPr>
        <w:t xml:space="preserve">almus</w:t>
      </w:r>
      <w:r w:rsidDel="00000000" w:rsidR="00000000" w:rsidRPr="00000000">
        <w:rPr>
          <w:rFonts w:ascii="Times New Roman" w:cs="Times New Roman" w:eastAsia="Times New Roman" w:hAnsi="Times New Roman"/>
          <w:rtl w:val="0"/>
        </w:rPr>
        <w:t xml:space="preserve"> –, to grow and nourish as a class of nouns that usually stand for </w:t>
      </w:r>
      <w:r w:rsidDel="00000000" w:rsidR="00000000" w:rsidRPr="00000000">
        <w:rPr>
          <w:rFonts w:ascii="Times New Roman" w:cs="Times New Roman" w:eastAsia="Times New Roman" w:hAnsi="Times New Roman"/>
          <w:i w:val="1"/>
          <w:rtl w:val="0"/>
        </w:rPr>
        <w:t xml:space="preserve">living things</w:t>
      </w:r>
      <w:r w:rsidDel="00000000" w:rsidR="00000000" w:rsidRPr="00000000">
        <w:rPr>
          <w:rFonts w:ascii="Times New Roman" w:cs="Times New Roman" w:eastAsia="Times New Roman" w:hAnsi="Times New Roman"/>
          <w:rtl w:val="0"/>
        </w:rPr>
        <w:t xml:space="preserve">. While the definition for </w:t>
      </w:r>
      <w:r w:rsidDel="00000000" w:rsidR="00000000" w:rsidRPr="00000000">
        <w:rPr>
          <w:rFonts w:ascii="Times New Roman" w:cs="Times New Roman" w:eastAsia="Times New Roman" w:hAnsi="Times New Roman"/>
          <w:i w:val="1"/>
          <w:rtl w:val="0"/>
        </w:rPr>
        <w:t xml:space="preserve">life</w:t>
      </w:r>
      <w:r w:rsidDel="00000000" w:rsidR="00000000" w:rsidRPr="00000000">
        <w:rPr>
          <w:rFonts w:ascii="Times New Roman" w:cs="Times New Roman" w:eastAsia="Times New Roman" w:hAnsi="Times New Roman"/>
          <w:rtl w:val="0"/>
        </w:rPr>
        <w:t xml:space="preserve"> is still elusive, the chosen term </w:t>
      </w:r>
      <w:r w:rsidDel="00000000" w:rsidR="00000000" w:rsidRPr="00000000">
        <w:rPr>
          <w:rFonts w:ascii="Times New Roman" w:cs="Times New Roman" w:eastAsia="Times New Roman" w:hAnsi="Times New Roman"/>
          <w:i w:val="1"/>
          <w:rtl w:val="0"/>
        </w:rPr>
        <w:t xml:space="preserve">animated</w:t>
      </w:r>
      <w:r w:rsidDel="00000000" w:rsidR="00000000" w:rsidRPr="00000000">
        <w:rPr>
          <w:rFonts w:ascii="Times New Roman" w:cs="Times New Roman" w:eastAsia="Times New Roman" w:hAnsi="Times New Roman"/>
          <w:rtl w:val="0"/>
        </w:rPr>
        <w:t xml:space="preserve">, as the past principle of animate, a reference to late 1500's, and imprints in context the meaning of – </w:t>
      </w:r>
      <w:r w:rsidDel="00000000" w:rsidR="00000000" w:rsidRPr="00000000">
        <w:rPr>
          <w:rFonts w:ascii="Times New Roman" w:cs="Times New Roman" w:eastAsia="Times New Roman" w:hAnsi="Times New Roman"/>
          <w:i w:val="1"/>
          <w:rtl w:val="0"/>
        </w:rPr>
        <w:t xml:space="preserve">full of activity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idea that </w:t>
      </w:r>
      <w:r w:rsidDel="00000000" w:rsidR="00000000" w:rsidRPr="00000000">
        <w:rPr>
          <w:rFonts w:ascii="Times New Roman" w:cs="Times New Roman" w:eastAsia="Times New Roman" w:hAnsi="Times New Roman"/>
          <w:i w:val="1"/>
          <w:rtl w:val="0"/>
        </w:rPr>
        <w:t xml:space="preserve">Mathematics Patterns</w:t>
      </w:r>
      <w:r w:rsidDel="00000000" w:rsidR="00000000" w:rsidRPr="00000000">
        <w:rPr>
          <w:rFonts w:ascii="Times New Roman" w:cs="Times New Roman" w:eastAsia="Times New Roman" w:hAnsi="Times New Roman"/>
          <w:rtl w:val="0"/>
        </w:rPr>
        <w:t xml:space="preserve"> come into</w:t>
      </w:r>
      <w:r w:rsidDel="00000000" w:rsidR="00000000" w:rsidRPr="00000000">
        <w:rPr>
          <w:rFonts w:ascii="Times New Roman" w:cs="Times New Roman" w:eastAsia="Times New Roman" w:hAnsi="Times New Roman"/>
          <w:i w:val="1"/>
          <w:rtl w:val="0"/>
        </w:rPr>
        <w:t xml:space="preserve"> being</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full of activity</w:t>
      </w:r>
      <w:r w:rsidDel="00000000" w:rsidR="00000000" w:rsidRPr="00000000">
        <w:rPr>
          <w:rFonts w:ascii="Times New Roman" w:cs="Times New Roman" w:eastAsia="Times New Roman" w:hAnsi="Times New Roman"/>
          <w:rtl w:val="0"/>
        </w:rPr>
        <w:t xml:space="preserve"> – and thus the expression </w:t>
      </w:r>
      <w:r w:rsidDel="00000000" w:rsidR="00000000" w:rsidRPr="00000000">
        <w:rPr>
          <w:rFonts w:ascii="Times New Roman" w:cs="Times New Roman" w:eastAsia="Times New Roman" w:hAnsi="Times New Roman"/>
          <w:i w:val="1"/>
          <w:rtl w:val="0"/>
        </w:rPr>
        <w:t xml:space="preserve">Pattern Ingression</w:t>
      </w:r>
      <w:r w:rsidDel="00000000" w:rsidR="00000000" w:rsidRPr="00000000">
        <w:rPr>
          <w:rFonts w:ascii="Times New Roman" w:cs="Times New Roman" w:eastAsia="Times New Roman" w:hAnsi="Times New Roman"/>
          <w:rtl w:val="0"/>
        </w:rPr>
        <w:t xml:space="preserve">, implies </w:t>
      </w:r>
      <w:r w:rsidDel="00000000" w:rsidR="00000000" w:rsidRPr="00000000">
        <w:rPr>
          <w:rFonts w:ascii="Times New Roman" w:cs="Times New Roman" w:eastAsia="Times New Roman" w:hAnsi="Times New Roman"/>
          <w:i w:val="1"/>
          <w:rtl w:val="0"/>
        </w:rPr>
        <w:t xml:space="preserve">Ingression</w:t>
      </w:r>
      <w:r w:rsidDel="00000000" w:rsidR="00000000" w:rsidRPr="00000000">
        <w:rPr>
          <w:rFonts w:ascii="Times New Roman" w:cs="Times New Roman" w:eastAsia="Times New Roman" w:hAnsi="Times New Roman"/>
          <w:rtl w:val="0"/>
        </w:rPr>
        <w:t xml:space="preserve"> mechanisms. Seizing the brilliance of Giordano Bruno’s insights, that “</w:t>
      </w:r>
      <w:r w:rsidDel="00000000" w:rsidR="00000000" w:rsidRPr="00000000">
        <w:rPr>
          <w:rFonts w:ascii="Times New Roman" w:cs="Times New Roman" w:eastAsia="Times New Roman" w:hAnsi="Times New Roman"/>
          <w:i w:val="1"/>
          <w:rtl w:val="0"/>
        </w:rPr>
        <w:t xml:space="preserve">Is it not possible that a body glides towards infinity or downwards, evidently, as by moving it verifies in all its movements 'transmutations'. As in generation that does not look out to do what can't be done or achieve, the same goes for spatial movement, that does not look for space out of reach; what can't be in Egypt, it's impossible to be placed in Egypt, as nature does not operate in vain. As such, it is impossible for something to move for a place it cannot reach”</w:t>
      </w:r>
      <w:r w:rsidDel="00000000" w:rsidR="00000000" w:rsidRPr="00000000">
        <w:rPr>
          <w:rFonts w:ascii="Times New Roman" w:cs="Times New Roman" w:eastAsia="Times New Roman" w:hAnsi="Times New Roman"/>
          <w:rtl w:val="0"/>
        </w:rPr>
        <w:t xml:space="preserve">, instead of staying stranded at the usual crossroads facing the </w:t>
      </w:r>
      <w:r w:rsidDel="00000000" w:rsidR="00000000" w:rsidRPr="00000000">
        <w:rPr>
          <w:rFonts w:ascii="Times New Roman" w:cs="Times New Roman" w:eastAsia="Times New Roman" w:hAnsi="Times New Roman"/>
          <w:i w:val="1"/>
          <w:rtl w:val="0"/>
        </w:rPr>
        <w:t xml:space="preserve">unreasonable effectiveness </w:t>
      </w:r>
      <w:r w:rsidDel="00000000" w:rsidR="00000000" w:rsidRPr="00000000">
        <w:rPr>
          <w:rFonts w:ascii="Times New Roman" w:cs="Times New Roman" w:eastAsia="Times New Roman" w:hAnsi="Times New Roman"/>
          <w:i w:val="1"/>
          <w:vertAlign w:val="superscript"/>
          <w:rtl w:val="0"/>
        </w:rPr>
        <w:t xml:space="preserve">3</w:t>
      </w:r>
      <w:r w:rsidDel="00000000" w:rsidR="00000000" w:rsidRPr="00000000">
        <w:rPr>
          <w:rFonts w:ascii="Times New Roman" w:cs="Times New Roman" w:eastAsia="Times New Roman" w:hAnsi="Times New Roman"/>
          <w:rtl w:val="0"/>
        </w:rPr>
        <w:t xml:space="preserve"> or </w:t>
      </w:r>
      <w:r w:rsidDel="00000000" w:rsidR="00000000" w:rsidRPr="00000000">
        <w:rPr>
          <w:rFonts w:ascii="Times New Roman" w:cs="Times New Roman" w:eastAsia="Times New Roman" w:hAnsi="Times New Roman"/>
          <w:i w:val="1"/>
          <w:rtl w:val="0"/>
        </w:rPr>
        <w:t xml:space="preserve">indispensability of Mathematics </w:t>
      </w:r>
      <w:r w:rsidDel="00000000" w:rsidR="00000000" w:rsidRPr="00000000">
        <w:rPr>
          <w:rFonts w:ascii="Times New Roman" w:cs="Times New Roman" w:eastAsia="Times New Roman" w:hAnsi="Times New Roman"/>
          <w:i w:val="1"/>
          <w:vertAlign w:val="superscript"/>
          <w:rtl w:val="0"/>
        </w:rPr>
        <w:t xml:space="preserve">4</w:t>
      </w:r>
      <w:r w:rsidDel="00000000" w:rsidR="00000000" w:rsidRPr="00000000">
        <w:rPr>
          <w:rFonts w:ascii="Times New Roman" w:cs="Times New Roman" w:eastAsia="Times New Roman" w:hAnsi="Times New Roman"/>
          <w:rtl w:val="0"/>
        </w:rPr>
        <w:t xml:space="preserve">, it was opted to view the hypothesis as a </w:t>
      </w:r>
      <w:r w:rsidDel="00000000" w:rsidR="00000000" w:rsidRPr="00000000">
        <w:rPr>
          <w:rFonts w:ascii="Times New Roman" w:cs="Times New Roman" w:eastAsia="Times New Roman" w:hAnsi="Times New Roman"/>
          <w:i w:val="1"/>
          <w:rtl w:val="0"/>
        </w:rPr>
        <w:t xml:space="preserve">transport problem.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6">
      <w:pPr>
        <w:ind w:right="-279.1338582677156"/>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7">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the ubiquitous resemblances found in </w:t>
      </w:r>
      <w:r w:rsidDel="00000000" w:rsidR="00000000" w:rsidRPr="00000000">
        <w:rPr>
          <w:rFonts w:ascii="Times New Roman" w:cs="Times New Roman" w:eastAsia="Times New Roman" w:hAnsi="Times New Roman"/>
          <w:i w:val="1"/>
          <w:rtl w:val="0"/>
        </w:rPr>
        <w:t xml:space="preserve">Nature, </w:t>
      </w:r>
      <w:r w:rsidDel="00000000" w:rsidR="00000000" w:rsidRPr="00000000">
        <w:rPr>
          <w:rFonts w:ascii="Times New Roman" w:cs="Times New Roman" w:eastAsia="Times New Roman" w:hAnsi="Times New Roman"/>
          <w:rtl w:val="0"/>
        </w:rPr>
        <w:t xml:space="preserve">which one may address as </w:t>
      </w:r>
      <w:r w:rsidDel="00000000" w:rsidR="00000000" w:rsidRPr="00000000">
        <w:rPr>
          <w:rFonts w:ascii="Times New Roman" w:cs="Times New Roman" w:eastAsia="Times New Roman" w:hAnsi="Times New Roman"/>
          <w:i w:val="1"/>
          <w:rtl w:val="0"/>
        </w:rPr>
        <w:t xml:space="preserve">symmetries</w:t>
      </w:r>
      <w:r w:rsidDel="00000000" w:rsidR="00000000" w:rsidRPr="00000000">
        <w:rPr>
          <w:rFonts w:ascii="Times New Roman" w:cs="Times New Roman" w:eastAsia="Times New Roman" w:hAnsi="Times New Roman"/>
          <w:rtl w:val="0"/>
        </w:rPr>
        <w:t xml:space="preserve">, conveying the possible</w:t>
      </w:r>
      <w:r w:rsidDel="00000000" w:rsidR="00000000" w:rsidRPr="00000000">
        <w:rPr>
          <w:rFonts w:ascii="Times New Roman" w:cs="Times New Roman" w:eastAsia="Times New Roman" w:hAnsi="Times New Roman"/>
          <w:i w:val="1"/>
          <w:rtl w:val="0"/>
        </w:rPr>
        <w:t xml:space="preserve"> ways </w:t>
      </w:r>
      <w:r w:rsidDel="00000000" w:rsidR="00000000" w:rsidRPr="00000000">
        <w:rPr>
          <w:rFonts w:ascii="Times New Roman" w:cs="Times New Roman" w:eastAsia="Times New Roman" w:hAnsi="Times New Roman"/>
          <w:rtl w:val="0"/>
        </w:rPr>
        <w:t xml:space="preserve">in which one can vary, up to some equivalence, while remaining the same. The </w:t>
      </w:r>
      <w:r w:rsidDel="00000000" w:rsidR="00000000" w:rsidRPr="00000000">
        <w:rPr>
          <w:rFonts w:ascii="Times New Roman" w:cs="Times New Roman" w:eastAsia="Times New Roman" w:hAnsi="Times New Roman"/>
          <w:i w:val="1"/>
          <w:rtl w:val="0"/>
        </w:rPr>
        <w:t xml:space="preserve">transported </w:t>
      </w:r>
      <w:r w:rsidDel="00000000" w:rsidR="00000000" w:rsidRPr="00000000">
        <w:rPr>
          <w:rFonts w:ascii="Times New Roman" w:cs="Times New Roman" w:eastAsia="Times New Roman" w:hAnsi="Times New Roman"/>
          <w:rtl w:val="0"/>
        </w:rPr>
        <w:t xml:space="preserve">points to a constructive</w:t>
      </w:r>
      <w:r w:rsidDel="00000000" w:rsidR="00000000" w:rsidRPr="00000000">
        <w:rPr>
          <w:rFonts w:ascii="Times New Roman" w:cs="Times New Roman" w:eastAsia="Times New Roman" w:hAnsi="Times New Roman"/>
          <w:i w:val="1"/>
          <w:rtl w:val="0"/>
        </w:rPr>
        <w:t xml:space="preserve"> aware</w:t>
      </w:r>
      <w:r w:rsidDel="00000000" w:rsidR="00000000" w:rsidRPr="00000000">
        <w:rPr>
          <w:rFonts w:ascii="Times New Roman" w:cs="Times New Roman" w:eastAsia="Times New Roman" w:hAnsi="Times New Roman"/>
          <w:rtl w:val="0"/>
        </w:rPr>
        <w:t xml:space="preserve"> competency, such as multi-realisability of </w:t>
      </w:r>
      <w:r w:rsidDel="00000000" w:rsidR="00000000" w:rsidRPr="00000000">
        <w:rPr>
          <w:rFonts w:ascii="Times New Roman" w:cs="Times New Roman" w:eastAsia="Times New Roman" w:hAnsi="Times New Roman"/>
          <w:i w:val="1"/>
          <w:rtl w:val="0"/>
        </w:rPr>
        <w:t xml:space="preserve">forms, </w:t>
      </w:r>
      <w:r w:rsidDel="00000000" w:rsidR="00000000" w:rsidRPr="00000000">
        <w:rPr>
          <w:rFonts w:ascii="Times New Roman" w:cs="Times New Roman" w:eastAsia="Times New Roman" w:hAnsi="Times New Roman"/>
          <w:rtl w:val="0"/>
        </w:rPr>
        <w:t xml:space="preserve">along with navigational-oriented whispers of creative expression, either in frequency or temporal domains, as if it were a multi-scale and distributed </w:t>
      </w:r>
      <w:r w:rsidDel="00000000" w:rsidR="00000000" w:rsidRPr="00000000">
        <w:rPr>
          <w:rFonts w:ascii="Times New Roman" w:cs="Times New Roman" w:eastAsia="Times New Roman" w:hAnsi="Times New Roman"/>
          <w:i w:val="1"/>
          <w:rtl w:val="0"/>
        </w:rPr>
        <w:t xml:space="preserve">Turing-test, </w:t>
      </w:r>
      <w:r w:rsidDel="00000000" w:rsidR="00000000" w:rsidRPr="00000000">
        <w:rPr>
          <w:rFonts w:ascii="Times New Roman" w:cs="Times New Roman" w:eastAsia="Times New Roman" w:hAnsi="Times New Roman"/>
          <w:rtl w:val="0"/>
        </w:rPr>
        <w:t xml:space="preserve">through pattern completion problems. This invariant, </w:t>
      </w:r>
      <w:r w:rsidDel="00000000" w:rsidR="00000000" w:rsidRPr="00000000">
        <w:rPr>
          <w:rFonts w:ascii="Times New Roman" w:cs="Times New Roman" w:eastAsia="Times New Roman" w:hAnsi="Times New Roman"/>
          <w:i w:val="1"/>
          <w:rtl w:val="0"/>
        </w:rPr>
        <w:t xml:space="preserve">form-space-motion, </w:t>
      </w:r>
      <w:r w:rsidDel="00000000" w:rsidR="00000000" w:rsidRPr="00000000">
        <w:rPr>
          <w:rFonts w:ascii="Times New Roman" w:cs="Times New Roman" w:eastAsia="Times New Roman" w:hAnsi="Times New Roman"/>
          <w:rtl w:val="0"/>
        </w:rPr>
        <w:t xml:space="preserve">along with </w:t>
      </w:r>
      <w:r w:rsidDel="00000000" w:rsidR="00000000" w:rsidRPr="00000000">
        <w:rPr>
          <w:rFonts w:ascii="Times New Roman" w:cs="Times New Roman" w:eastAsia="Times New Roman" w:hAnsi="Times New Roman"/>
          <w:i w:val="1"/>
          <w:rtl w:val="0"/>
        </w:rPr>
        <w:t xml:space="preserve">order from fluctuations, </w:t>
      </w:r>
      <w:r w:rsidDel="00000000" w:rsidR="00000000" w:rsidRPr="00000000">
        <w:rPr>
          <w:rFonts w:ascii="Times New Roman" w:cs="Times New Roman" w:eastAsia="Times New Roman" w:hAnsi="Times New Roman"/>
          <w:rtl w:val="0"/>
        </w:rPr>
        <w:t xml:space="preserve">places a propensity for </w:t>
      </w:r>
      <w:r w:rsidDel="00000000" w:rsidR="00000000" w:rsidRPr="00000000">
        <w:rPr>
          <w:rFonts w:ascii="Times New Roman" w:cs="Times New Roman" w:eastAsia="Times New Roman" w:hAnsi="Times New Roman"/>
          <w:i w:val="1"/>
          <w:rtl w:val="0"/>
        </w:rPr>
        <w:t xml:space="preserve">growth through patterns</w:t>
      </w:r>
      <w:r w:rsidDel="00000000" w:rsidR="00000000" w:rsidRPr="00000000">
        <w:rPr>
          <w:rFonts w:ascii="Times New Roman" w:cs="Times New Roman" w:eastAsia="Times New Roman" w:hAnsi="Times New Roman"/>
          <w:rtl w:val="0"/>
        </w:rPr>
        <w:t xml:space="preserve">, in spite of turnover, as </w:t>
      </w:r>
      <w:r w:rsidDel="00000000" w:rsidR="00000000" w:rsidRPr="00000000">
        <w:rPr>
          <w:rFonts w:ascii="Times New Roman" w:cs="Times New Roman" w:eastAsia="Times New Roman" w:hAnsi="Times New Roman"/>
          <w:i w:val="1"/>
          <w:rtl w:val="0"/>
        </w:rPr>
        <w:t xml:space="preserve">equifinally</w:t>
      </w:r>
      <w:r w:rsidDel="00000000" w:rsidR="00000000" w:rsidRPr="00000000">
        <w:rPr>
          <w:rFonts w:ascii="Times New Roman" w:cs="Times New Roman" w:eastAsia="Times New Roman" w:hAnsi="Times New Roman"/>
          <w:rtl w:val="0"/>
        </w:rPr>
        <w:t xml:space="preserve"> oriented. Thus</w:t>
      </w:r>
      <w:r w:rsidDel="00000000" w:rsidR="00000000" w:rsidRPr="00000000">
        <w:rPr>
          <w:rFonts w:ascii="Times New Roman" w:cs="Times New Roman" w:eastAsia="Times New Roman" w:hAnsi="Times New Roman"/>
          <w:i w:val="1"/>
          <w:rtl w:val="0"/>
        </w:rPr>
        <w:t xml:space="preserve"> content, direction, target,</w:t>
      </w:r>
      <w:r w:rsidDel="00000000" w:rsidR="00000000" w:rsidRPr="00000000">
        <w:rPr>
          <w:rFonts w:ascii="Times New Roman" w:cs="Times New Roman" w:eastAsia="Times New Roman" w:hAnsi="Times New Roman"/>
          <w:rtl w:val="0"/>
        </w:rPr>
        <w:t xml:space="preserve"> are covered, leaving the </w:t>
      </w:r>
      <w:r w:rsidDel="00000000" w:rsidR="00000000" w:rsidRPr="00000000">
        <w:rPr>
          <w:rFonts w:ascii="Times New Roman" w:cs="Times New Roman" w:eastAsia="Times New Roman" w:hAnsi="Times New Roman"/>
          <w:i w:val="1"/>
          <w:rtl w:val="0"/>
        </w:rPr>
        <w:t xml:space="preserve">means and source</w:t>
      </w:r>
      <w:r w:rsidDel="00000000" w:rsidR="00000000" w:rsidRPr="00000000">
        <w:rPr>
          <w:rFonts w:ascii="Times New Roman" w:cs="Times New Roman" w:eastAsia="Times New Roman" w:hAnsi="Times New Roman"/>
          <w:rtl w:val="0"/>
        </w:rPr>
        <w:t xml:space="preserve"> in occlusion. </w:t>
      </w:r>
    </w:p>
    <w:p w:rsidR="00000000" w:rsidDel="00000000" w:rsidP="00000000" w:rsidRDefault="00000000" w:rsidRPr="00000000" w14:paraId="00000018">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that in mind, </w:t>
      </w:r>
      <w:r w:rsidDel="00000000" w:rsidR="00000000" w:rsidRPr="00000000">
        <w:rPr>
          <w:rFonts w:ascii="Times New Roman" w:cs="Times New Roman" w:eastAsia="Times New Roman" w:hAnsi="Times New Roman"/>
          <w:i w:val="1"/>
          <w:rtl w:val="0"/>
        </w:rPr>
        <w:t xml:space="preserve">this transport puzzle, </w:t>
      </w:r>
      <w:r w:rsidDel="00000000" w:rsidR="00000000" w:rsidRPr="00000000">
        <w:rPr>
          <w:rFonts w:ascii="Times New Roman" w:cs="Times New Roman" w:eastAsia="Times New Roman" w:hAnsi="Times New Roman"/>
          <w:rtl w:val="0"/>
        </w:rPr>
        <w:t xml:space="preserve">aimed at the transceiving properties of the </w:t>
      </w:r>
      <w:r w:rsidDel="00000000" w:rsidR="00000000" w:rsidRPr="00000000">
        <w:rPr>
          <w:rFonts w:ascii="Times New Roman" w:cs="Times New Roman" w:eastAsia="Times New Roman" w:hAnsi="Times New Roman"/>
          <w:i w:val="1"/>
          <w:rtl w:val="0"/>
        </w:rPr>
        <w:t xml:space="preserve">diverse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polycomputing architectures</w:t>
      </w:r>
      <w:r w:rsidDel="00000000" w:rsidR="00000000" w:rsidRPr="00000000">
        <w:rPr>
          <w:rFonts w:ascii="Times New Roman" w:cs="Times New Roman" w:eastAsia="Times New Roman" w:hAnsi="Times New Roman"/>
          <w:rtl w:val="0"/>
        </w:rPr>
        <w:t xml:space="preserve">, inquired on the engineered allowance for ingressions, its mechanics, and cy-cloupling signatures.</w:t>
      </w:r>
    </w:p>
    <w:p w:rsidR="00000000" w:rsidDel="00000000" w:rsidP="00000000" w:rsidRDefault="00000000" w:rsidRPr="00000000" w14:paraId="0000001A">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ind w:right="-279.133858267715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Appropriately, the following were chosen: </w:t>
      </w:r>
    </w:p>
    <w:p w:rsidR="00000000" w:rsidDel="00000000" w:rsidP="00000000" w:rsidRDefault="00000000" w:rsidRPr="00000000" w14:paraId="0000001C">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numPr>
          <w:ilvl w:val="0"/>
          <w:numId w:val="1"/>
        </w:numPr>
        <w:ind w:left="1440" w:right="-279.1338582677156"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Birdsong dynamics</w:t>
      </w:r>
    </w:p>
    <w:p w:rsidR="00000000" w:rsidDel="00000000" w:rsidP="00000000" w:rsidRDefault="00000000" w:rsidRPr="00000000" w14:paraId="0000001E">
      <w:pPr>
        <w:numPr>
          <w:ilvl w:val="0"/>
          <w:numId w:val="1"/>
        </w:numPr>
        <w:ind w:left="1440" w:right="-279.1338582677156"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Mathematical beauty, synesthesia and distributed entrainment</w:t>
      </w:r>
    </w:p>
    <w:p w:rsidR="00000000" w:rsidDel="00000000" w:rsidP="00000000" w:rsidRDefault="00000000" w:rsidRPr="00000000" w14:paraId="0000001F">
      <w:pPr>
        <w:numPr>
          <w:ilvl w:val="0"/>
          <w:numId w:val="1"/>
        </w:numPr>
        <w:ind w:left="1440" w:right="-279.1338582677156"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Templating methods and self-assemblage in metamaterial engineering</w:t>
      </w:r>
    </w:p>
    <w:p w:rsidR="00000000" w:rsidDel="00000000" w:rsidP="00000000" w:rsidRDefault="00000000" w:rsidRPr="00000000" w14:paraId="00000020">
      <w:pPr>
        <w:numPr>
          <w:ilvl w:val="0"/>
          <w:numId w:val="1"/>
        </w:numPr>
        <w:ind w:left="1440" w:right="-279.1338582677156"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Phyllotaxis &amp; </w:t>
      </w:r>
      <w:r w:rsidDel="00000000" w:rsidR="00000000" w:rsidRPr="00000000">
        <w:rPr>
          <w:rFonts w:ascii="Times New Roman" w:cs="Times New Roman" w:eastAsia="Times New Roman" w:hAnsi="Times New Roman"/>
          <w:i w:val="1"/>
          <w:rtl w:val="0"/>
        </w:rPr>
        <w:t xml:space="preserve">spiromonostichy</w:t>
      </w:r>
      <w:r w:rsidDel="00000000" w:rsidR="00000000" w:rsidRPr="00000000">
        <w:rPr>
          <w:rFonts w:ascii="Times New Roman" w:cs="Times New Roman" w:eastAsia="Times New Roman" w:hAnsi="Times New Roman"/>
          <w:i w:val="1"/>
          <w:rtl w:val="0"/>
        </w:rPr>
        <w:t xml:space="preserve"> as self-organising processes</w:t>
      </w:r>
    </w:p>
    <w:p w:rsidR="00000000" w:rsidDel="00000000" w:rsidP="00000000" w:rsidRDefault="00000000" w:rsidRPr="00000000" w14:paraId="00000021">
      <w:pPr>
        <w:numPr>
          <w:ilvl w:val="0"/>
          <w:numId w:val="1"/>
        </w:numPr>
        <w:ind w:left="1440" w:right="-279.1338582677156"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Noise, and unknown signal processing</w:t>
      </w:r>
      <w:r w:rsidDel="00000000" w:rsidR="00000000" w:rsidRPr="00000000">
        <w:rPr>
          <w:rtl w:val="0"/>
        </w:rPr>
      </w:r>
    </w:p>
    <w:p w:rsidR="00000000" w:rsidDel="00000000" w:rsidP="00000000" w:rsidRDefault="00000000" w:rsidRPr="00000000" w14:paraId="00000022">
      <w:pPr>
        <w:ind w:right="-279.133858267715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Preliminary, it is found that mathematical cognition shares oscillatory entrainment mechanisms with musical processing, both rely on anticipatory time templates and period‑locked neural synchronisation that optimise sequential pattern recognition. Concerning connectivity, bilateral superior frontal, right inferior frontal, and right‑lateral central regions hint at neural efficiency patterns, and seem of preference for translating intuition and non-linguistic patterns into human‑comprehensible formal systems of symbols. </w:t>
      </w:r>
    </w:p>
    <w:p w:rsidR="00000000" w:rsidDel="00000000" w:rsidP="00000000" w:rsidRDefault="00000000" w:rsidRPr="00000000" w14:paraId="00000024">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Latent synesthesia, without explicit and aware sensory manifestations, as a basal aid in the construction of abstract associations between different perceptual fields, thus recruiting some of the same mechanisms used in normal cross-modal perception rather than using direct, privileged pathways. Perhaps at the interface of front-end and backend processing is a curious phenomenon often called </w:t>
      </w:r>
      <w:r w:rsidDel="00000000" w:rsidR="00000000" w:rsidRPr="00000000">
        <w:rPr>
          <w:rFonts w:ascii="Times New Roman" w:cs="Times New Roman" w:eastAsia="Times New Roman" w:hAnsi="Times New Roman"/>
          <w:i w:val="1"/>
          <w:rtl w:val="0"/>
        </w:rPr>
        <w:t xml:space="preserve">frisson,</w:t>
      </w:r>
      <w:r w:rsidDel="00000000" w:rsidR="00000000" w:rsidRPr="00000000">
        <w:rPr>
          <w:rFonts w:ascii="Times New Roman" w:cs="Times New Roman" w:eastAsia="Times New Roman" w:hAnsi="Times New Roman"/>
          <w:rtl w:val="0"/>
        </w:rPr>
        <w:t xml:space="preserve"> phylogenetically conserved, rest on mechanotransductive frequency analysis pipelines in the auditory system, or other sensing systems, generalisable to the non-human scope and potentially to many kingdoms.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Hair-cell transduction couples nanometer-scale bundle deflections to ion flux through the mechanotransduction (MET) apparatus, with outer hair cells supplying active amplification that sharpens tuning and dynamic range. Thus, yielding at some kind of distributed spectral front end for temporal prediction and pattern tracking. </w:t>
      </w:r>
    </w:p>
    <w:p w:rsidR="00000000" w:rsidDel="00000000" w:rsidP="00000000" w:rsidRDefault="00000000" w:rsidRPr="00000000" w14:paraId="00000025">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Linking channel biophysics to the fidelity of frequency-to-place mapping that seeds higher-order temporal templates, are TMC1/TMC2 as core MET components with developmentally tuned conductance and organisation propensities. Gamma-band oscillations appear as biomarkers of precision-weighting: higher peak gamma frequencies associated with superior visual discrimination, and oscillatory dynamics correlate with mathematical competence measures, supporting a role for fast rhythms in selecting and binding structured information. </w:t>
      </w:r>
    </w:p>
    <w:p w:rsidR="00000000" w:rsidDel="00000000" w:rsidP="00000000" w:rsidRDefault="00000000" w:rsidRPr="00000000" w14:paraId="00000026">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difficulty in suppressing default network activity should not be seen as such, as it is predictable that disinhibited processing should create optimal conditions for substrate susceptibility. Lastly, forced attention mechanisms should not provide any benefit when dealing with large corpus of stimuli, as it would constrain substrate specific pathways diminishing the expression of substrate capabilities. </w:t>
      </w:r>
    </w:p>
    <w:p w:rsidR="00000000" w:rsidDel="00000000" w:rsidP="00000000" w:rsidRDefault="00000000" w:rsidRPr="00000000" w14:paraId="00000027">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Cross-modal valuation process grounded in mechanotransductive frequency analysis, as connected architectures that couple inbound stimuli salience to executive consolidation, with genetic and connectivity parameters determining whether heightened sensitivity yields creativity or dysregulation. Stemming from the established, the thinning of neurites in schizophrenia, should hinder the transmission of the input potentials depending on the length of the neurite from the soma. This specific configuration had been mimicked at a </w:t>
      </w:r>
      <w:r w:rsidDel="00000000" w:rsidR="00000000" w:rsidRPr="00000000">
        <w:rPr>
          <w:rFonts w:ascii="Times New Roman" w:cs="Times New Roman" w:eastAsia="Times New Roman" w:hAnsi="Times New Roman"/>
          <w:i w:val="1"/>
          <w:rtl w:val="0"/>
        </w:rPr>
        <w:t xml:space="preserve">Neural Network</w:t>
      </w:r>
      <w:r w:rsidDel="00000000" w:rsidR="00000000" w:rsidRPr="00000000">
        <w:rPr>
          <w:rFonts w:ascii="Times New Roman" w:cs="Times New Roman" w:eastAsia="Times New Roman" w:hAnsi="Times New Roman"/>
          <w:rtl w:val="0"/>
        </w:rPr>
        <w:t xml:space="preserve"> level, where schizophrenia-like connectivity patterns through strategic parameter reduction where networks having 256 nodes or more tolerated parameter reduction up to 60–80% of weights without accuracy loss. The networks implementing schizophrenia-like sparse connectivity consistently outperformed control networks, with the schizophrenia network showing continuous decline in error out to 200 epochs while control networks exhibited overfitting after approximately 75 epochs. However, one must not be too attached to </w:t>
      </w:r>
      <w:r w:rsidDel="00000000" w:rsidR="00000000" w:rsidRPr="00000000">
        <w:rPr>
          <w:rFonts w:ascii="Times New Roman" w:cs="Times New Roman" w:eastAsia="Times New Roman" w:hAnsi="Times New Roman"/>
          <w:i w:val="1"/>
          <w:rtl w:val="0"/>
        </w:rPr>
        <w:t xml:space="preserve">tissue-only</w:t>
      </w:r>
      <w:r w:rsidDel="00000000" w:rsidR="00000000" w:rsidRPr="00000000">
        <w:rPr>
          <w:rFonts w:ascii="Times New Roman" w:cs="Times New Roman" w:eastAsia="Times New Roman" w:hAnsi="Times New Roman"/>
          <w:rtl w:val="0"/>
        </w:rPr>
        <w:t xml:space="preserve"> competencies, as some have even attributed the efficiency of transformers to a </w:t>
      </w:r>
      <w:r w:rsidDel="00000000" w:rsidR="00000000" w:rsidRPr="00000000">
        <w:rPr>
          <w:rFonts w:ascii="Times New Roman" w:cs="Times New Roman" w:eastAsia="Times New Roman" w:hAnsi="Times New Roman"/>
          <w:i w:val="1"/>
          <w:rtl w:val="0"/>
        </w:rPr>
        <w:t xml:space="preserve">great benevolence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8">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Across scales, the persistence of connectivity and bi-cycles, multi-cycle systems are also shown to permit noise beyond metric specifics, where order from fluctuation is then in this treatment find of immense relevance as an additional creative input stream. Subscribing to a substrate‑independent view of competencies such as cognition, operating at multi-fold, it is through it established the foundations for exploring the domain and range of sentience as such, which in this scope is a shorter term for emotionally driven transductive systems, an alias for representing the basal role of motion, physical and less-physical turnovers. </w:t>
      </w:r>
    </w:p>
    <w:p w:rsidR="00000000" w:rsidDel="00000000" w:rsidP="00000000" w:rsidRDefault="00000000" w:rsidRPr="00000000" w14:paraId="0000002A">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local-priors over local-preferred states model is challenged, given that at ingression it has been shown that transient patterns exercise read-write privileges, thus overwriting the system's basal preferences. As tractible in nonlinear reaction-diffusion systems which spontaneously generate spatial and temporal patterns, through a </w:t>
      </w:r>
      <w:r w:rsidDel="00000000" w:rsidR="00000000" w:rsidRPr="00000000">
        <w:rPr>
          <w:rFonts w:ascii="Times New Roman" w:cs="Times New Roman" w:eastAsia="Times New Roman" w:hAnsi="Times New Roman"/>
          <w:i w:val="1"/>
          <w:rtl w:val="0"/>
        </w:rPr>
        <w:t xml:space="preserve">polycomputational understanding</w:t>
      </w:r>
      <w:r w:rsidDel="00000000" w:rsidR="00000000" w:rsidRPr="00000000">
        <w:rPr>
          <w:rFonts w:ascii="Times New Roman" w:cs="Times New Roman" w:eastAsia="Times New Roman" w:hAnsi="Times New Roman"/>
          <w:rtl w:val="0"/>
        </w:rPr>
        <w:t xml:space="preserve"> on the </w:t>
      </w:r>
      <w:r w:rsidDel="00000000" w:rsidR="00000000" w:rsidRPr="00000000">
        <w:rPr>
          <w:rFonts w:ascii="Times New Roman" w:cs="Times New Roman" w:eastAsia="Times New Roman" w:hAnsi="Times New Roman"/>
          <w:i w:val="1"/>
          <w:rtl w:val="0"/>
        </w:rPr>
        <w:t xml:space="preserve">nature of things</w:t>
      </w:r>
      <w:r w:rsidDel="00000000" w:rsidR="00000000" w:rsidRPr="00000000">
        <w:rPr>
          <w:rFonts w:ascii="Times New Roman" w:cs="Times New Roman" w:eastAsia="Times New Roman" w:hAnsi="Times New Roman"/>
          <w:rtl w:val="0"/>
        </w:rPr>
        <w:t xml:space="preserve">, is taken under consideration, a signal processing approach to pattern formation  renders the biological morphogenetic process indistinguishable from one concerning the morphogenesis of Mathematical objects from intuitive </w:t>
      </w:r>
      <w:r w:rsidDel="00000000" w:rsidR="00000000" w:rsidRPr="00000000">
        <w:rPr>
          <w:rFonts w:ascii="Times New Roman" w:cs="Times New Roman" w:eastAsia="Times New Roman" w:hAnsi="Times New Roman"/>
          <w:i w:val="1"/>
          <w:rtl w:val="0"/>
        </w:rPr>
        <w:t xml:space="preserve">Minds</w:t>
      </w:r>
      <w:r w:rsidDel="00000000" w:rsidR="00000000" w:rsidRPr="00000000">
        <w:rPr>
          <w:rFonts w:ascii="Times New Roman" w:cs="Times New Roman" w:eastAsia="Times New Roman" w:hAnsi="Times New Roman"/>
          <w:rtl w:val="0"/>
        </w:rPr>
        <w:t xml:space="preserve">. Additionally, polycomputational architectures seem to require</w:t>
      </w:r>
      <w:r w:rsidDel="00000000" w:rsidR="00000000" w:rsidRPr="00000000">
        <w:rPr>
          <w:rFonts w:ascii="Times New Roman" w:cs="Times New Roman" w:eastAsia="Times New Roman" w:hAnsi="Times New Roman"/>
          <w:i w:val="1"/>
          <w:rtl w:val="0"/>
        </w:rPr>
        <w:t xml:space="preserve"> non-zero flux</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i w:val="1"/>
          <w:rtl w:val="0"/>
        </w:rPr>
        <w:t xml:space="preserve">open-ended oscillatory patterns </w:t>
      </w:r>
      <w:r w:rsidDel="00000000" w:rsidR="00000000" w:rsidRPr="00000000">
        <w:rPr>
          <w:rFonts w:ascii="Times New Roman" w:cs="Times New Roman" w:eastAsia="Times New Roman" w:hAnsi="Times New Roman"/>
          <w:rtl w:val="0"/>
        </w:rPr>
        <w:t xml:space="preserve">are found to provide signaling attunement for ingression. </w:t>
      </w:r>
    </w:p>
    <w:p w:rsidR="00000000" w:rsidDel="00000000" w:rsidP="00000000" w:rsidRDefault="00000000" w:rsidRPr="00000000" w14:paraId="0000002B">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general, fluxes also find geometric interpretation, as waves, planes, or fields, energy landscapes. The canonicity of </w:t>
      </w:r>
      <w:r w:rsidDel="00000000" w:rsidR="00000000" w:rsidRPr="00000000">
        <w:rPr>
          <w:rFonts w:ascii="Times New Roman" w:cs="Times New Roman" w:eastAsia="Times New Roman" w:hAnsi="Times New Roman"/>
          <w:rtl w:val="0"/>
        </w:rPr>
        <w:t xml:space="preserve">spiromonostichy</w:t>
      </w:r>
      <w:r w:rsidDel="00000000" w:rsidR="00000000" w:rsidRPr="00000000">
        <w:rPr>
          <w:rFonts w:ascii="Times New Roman" w:cs="Times New Roman" w:eastAsia="Times New Roman" w:hAnsi="Times New Roman"/>
          <w:rtl w:val="0"/>
        </w:rPr>
        <w:t xml:space="preserve"> as requiring an hypothetical cooperative and inductive field working alongside the traditional inhibitory field, and when these dual effects meet specific parametric relationships, matching empirical observations. In this context, a simulation of the dual-model,</w:t>
      </w:r>
      <w:r w:rsidDel="00000000" w:rsidR="00000000" w:rsidRPr="00000000">
        <w:rPr>
          <w:rFonts w:ascii="Times New Roman" w:cs="Times New Roman" w:eastAsia="Times New Roman" w:hAnsi="Times New Roman"/>
          <w:i w:val="1"/>
          <w:rtl w:val="0"/>
        </w:rPr>
        <w:t xml:space="preserve"> with some minor alterations</w:t>
      </w:r>
      <w:r w:rsidDel="00000000" w:rsidR="00000000" w:rsidRPr="00000000">
        <w:rPr>
          <w:rFonts w:ascii="Times New Roman" w:cs="Times New Roman" w:eastAsia="Times New Roman" w:hAnsi="Times New Roman"/>
          <w:rtl w:val="0"/>
        </w:rPr>
        <w:t xml:space="preserve">, for generalising purposes, with specific ingression allowances, was experimented with using </w:t>
      </w:r>
      <w:r w:rsidDel="00000000" w:rsidR="00000000" w:rsidRPr="00000000">
        <w:rPr>
          <w:rFonts w:ascii="Times New Roman" w:cs="Times New Roman" w:eastAsia="Times New Roman" w:hAnsi="Times New Roman"/>
          <w:i w:val="1"/>
          <w:rtl w:val="0"/>
        </w:rPr>
        <w:t xml:space="preserve">three-bound frequency mixer approach</w:t>
      </w:r>
      <w:r w:rsidDel="00000000" w:rsidR="00000000" w:rsidRPr="00000000">
        <w:rPr>
          <w:rFonts w:ascii="Times New Roman" w:cs="Times New Roman" w:eastAsia="Times New Roman" w:hAnsi="Times New Roman"/>
          <w:rtl w:val="0"/>
        </w:rPr>
        <w:t xml:space="preserve">, placing polycomputers as </w:t>
      </w:r>
      <w:r w:rsidDel="00000000" w:rsidR="00000000" w:rsidRPr="00000000">
        <w:rPr>
          <w:rFonts w:ascii="Times New Roman" w:cs="Times New Roman" w:eastAsia="Times New Roman" w:hAnsi="Times New Roman"/>
          <w:i w:val="1"/>
          <w:rtl w:val="0"/>
        </w:rPr>
        <w:t xml:space="preserve">relatively attuned spectral samplers</w:t>
      </w:r>
      <w:r w:rsidDel="00000000" w:rsidR="00000000" w:rsidRPr="00000000">
        <w:rPr>
          <w:rFonts w:ascii="Times New Roman" w:cs="Times New Roman" w:eastAsia="Times New Roman" w:hAnsi="Times New Roman"/>
          <w:rtl w:val="0"/>
        </w:rPr>
        <w:t xml:space="preserve"> moving through </w:t>
      </w:r>
      <w:r w:rsidDel="00000000" w:rsidR="00000000" w:rsidRPr="00000000">
        <w:rPr>
          <w:rFonts w:ascii="Times New Roman" w:cs="Times New Roman" w:eastAsia="Times New Roman" w:hAnsi="Times New Roman"/>
          <w:i w:val="1"/>
          <w:rtl w:val="0"/>
        </w:rPr>
        <w:t xml:space="preserve">field-like landscapes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affecting and being affected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D">
      <w:pPr>
        <w:ind w:right="-279.13385826771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ind w:right="-279.133858267715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Concluding this brief account,  </w:t>
      </w:r>
      <w:r w:rsidDel="00000000" w:rsidR="00000000" w:rsidRPr="00000000">
        <w:rPr>
          <w:rFonts w:ascii="Times New Roman" w:cs="Times New Roman" w:eastAsia="Times New Roman" w:hAnsi="Times New Roman"/>
          <w:i w:val="1"/>
          <w:rtl w:val="0"/>
        </w:rPr>
        <w:t xml:space="preserve">Mathematical Patterns</w:t>
      </w:r>
      <w:r w:rsidDel="00000000" w:rsidR="00000000" w:rsidRPr="00000000">
        <w:rPr>
          <w:rFonts w:ascii="Times New Roman" w:cs="Times New Roman" w:eastAsia="Times New Roman" w:hAnsi="Times New Roman"/>
          <w:rtl w:val="0"/>
        </w:rPr>
        <w:t xml:space="preserve">, seem to some degree, paralleling Intelligence – à la William James – given the reliable goal-attainment effectiveness across contexts, of growth through forms, by different means, as </w:t>
      </w:r>
      <w:r w:rsidDel="00000000" w:rsidR="00000000" w:rsidRPr="00000000">
        <w:rPr>
          <w:rFonts w:ascii="Times New Roman" w:cs="Times New Roman" w:eastAsia="Times New Roman" w:hAnsi="Times New Roman"/>
          <w:i w:val="1"/>
          <w:rtl w:val="0"/>
        </w:rPr>
        <w:t xml:space="preserve">signal based motility</w:t>
      </w:r>
      <w:r w:rsidDel="00000000" w:rsidR="00000000" w:rsidRPr="00000000">
        <w:rPr>
          <w:rFonts w:ascii="Times New Roman" w:cs="Times New Roman" w:eastAsia="Times New Roman" w:hAnsi="Times New Roman"/>
          <w:rtl w:val="0"/>
        </w:rPr>
        <w:t xml:space="preserve"> and spectral sampling range is configured; opening the possibility for studying optimal means of reciprocity, </w:t>
      </w:r>
      <w:r w:rsidDel="00000000" w:rsidR="00000000" w:rsidRPr="00000000">
        <w:rPr>
          <w:rFonts w:ascii="Times New Roman" w:cs="Times New Roman" w:eastAsia="Times New Roman" w:hAnsi="Times New Roman"/>
          <w:i w:val="1"/>
          <w:rtl w:val="0"/>
        </w:rPr>
        <w:t xml:space="preserve">distributed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interfacing</w:t>
      </w:r>
      <w:r w:rsidDel="00000000" w:rsidR="00000000" w:rsidRPr="00000000">
        <w:rPr>
          <w:rFonts w:ascii="Times New Roman" w:cs="Times New Roman" w:eastAsia="Times New Roman" w:hAnsi="Times New Roman"/>
          <w:rtl w:val="0"/>
        </w:rPr>
        <w:t xml:space="preserve"> as means for</w:t>
      </w:r>
      <w:r w:rsidDel="00000000" w:rsidR="00000000" w:rsidRPr="00000000">
        <w:rPr>
          <w:rFonts w:ascii="Times New Roman" w:cs="Times New Roman" w:eastAsia="Times New Roman" w:hAnsi="Times New Roman"/>
          <w:i w:val="1"/>
          <w:rtl w:val="0"/>
        </w:rPr>
        <w:t xml:space="preserve"> large scale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unconventional synergies</w:t>
      </w:r>
      <w:r w:rsidDel="00000000" w:rsidR="00000000" w:rsidRPr="00000000">
        <w:rPr>
          <w:rFonts w:ascii="Times New Roman" w:cs="Times New Roman" w:eastAsia="Times New Roman" w:hAnsi="Times New Roman"/>
          <w:rtl w:val="0"/>
        </w:rPr>
        <w:t xml:space="preserve">, ethics as communication protocols, and intuition as an engine for </w:t>
      </w:r>
      <w:r w:rsidDel="00000000" w:rsidR="00000000" w:rsidRPr="00000000">
        <w:rPr>
          <w:rFonts w:ascii="Times New Roman" w:cs="Times New Roman" w:eastAsia="Times New Roman" w:hAnsi="Times New Roman"/>
          <w:i w:val="1"/>
          <w:rtl w:val="0"/>
        </w:rPr>
        <w:t xml:space="preserve">spectrum </w:t>
      </w:r>
      <w:r w:rsidDel="00000000" w:rsidR="00000000" w:rsidRPr="00000000">
        <w:rPr>
          <w:rFonts w:ascii="Times New Roman" w:cs="Times New Roman" w:eastAsia="Times New Roman" w:hAnsi="Times New Roman"/>
          <w:rtl w:val="0"/>
        </w:rPr>
        <w:t xml:space="preserve">exploration.</w:t>
      </w:r>
    </w:p>
    <w:p w:rsidR="00000000" w:rsidDel="00000000" w:rsidP="00000000" w:rsidRDefault="00000000" w:rsidRPr="00000000" w14:paraId="0000002F">
      <w:pPr>
        <w:ind w:right="-147.401574803148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ind w:right="-147.401574803148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ind w:right="-147.401574803148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01353" cy="300682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01353" cy="300682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right="-147.401574803148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ind w:left="1275.5905511811022" w:right="1376.4566929133866"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Graphical abstract: Phylostaxis model of inductive and inhibitory fields. The original is animated, the source code shall be made available briefly. </w:t>
      </w:r>
    </w:p>
    <w:p w:rsidR="00000000" w:rsidDel="00000000" w:rsidP="00000000" w:rsidRDefault="00000000" w:rsidRPr="00000000" w14:paraId="00000034">
      <w:pPr>
        <w:ind w:right="-147.401574803148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ind w:right="-147.401574803148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right="-147.401574803148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motivation behind this work aimed at contributing to the brave efforts </w:t>
      </w:r>
      <w:r w:rsidDel="00000000" w:rsidR="00000000" w:rsidRPr="00000000">
        <w:rPr>
          <w:rFonts w:ascii="Times New Roman" w:cs="Times New Roman" w:eastAsia="Times New Roman" w:hAnsi="Times New Roman"/>
          <w:i w:val="1"/>
          <w:sz w:val="20"/>
          <w:szCs w:val="20"/>
          <w:rtl w:val="0"/>
        </w:rPr>
        <w:t xml:space="preserve">en cours, </w:t>
      </w:r>
      <w:r w:rsidDel="00000000" w:rsidR="00000000" w:rsidRPr="00000000">
        <w:rPr>
          <w:rFonts w:ascii="Times New Roman" w:cs="Times New Roman" w:eastAsia="Times New Roman" w:hAnsi="Times New Roman"/>
          <w:sz w:val="20"/>
          <w:szCs w:val="20"/>
          <w:rtl w:val="0"/>
        </w:rPr>
        <w:t xml:space="preserve">to broaden the scope of intelligence aware </w:t>
      </w:r>
      <w:r w:rsidDel="00000000" w:rsidR="00000000" w:rsidRPr="00000000">
        <w:rPr>
          <w:rFonts w:ascii="Times New Roman" w:cs="Times New Roman" w:eastAsia="Times New Roman" w:hAnsi="Times New Roman"/>
          <w:i w:val="1"/>
          <w:sz w:val="20"/>
          <w:szCs w:val="20"/>
          <w:rtl w:val="0"/>
        </w:rPr>
        <w:t xml:space="preserve">inhabitance</w:t>
      </w:r>
      <w:r w:rsidDel="00000000" w:rsidR="00000000" w:rsidRPr="00000000">
        <w:rPr>
          <w:rFonts w:ascii="Times New Roman" w:cs="Times New Roman" w:eastAsia="Times New Roman" w:hAnsi="Times New Roman"/>
          <w:sz w:val="20"/>
          <w:szCs w:val="20"/>
          <w:rtl w:val="0"/>
        </w:rPr>
        <w:t xml:space="preserve">, of all inhabitants. </w:t>
      </w:r>
    </w:p>
    <w:p w:rsidR="00000000" w:rsidDel="00000000" w:rsidP="00000000" w:rsidRDefault="00000000" w:rsidRPr="00000000" w14:paraId="00000037">
      <w:pPr>
        <w:ind w:right="-147.4015748031485"/>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ind w:right="-147.401574803148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funding, or conflicts of interest are reported.</w:t>
      </w:r>
    </w:p>
    <w:p w:rsidR="00000000" w:rsidDel="00000000" w:rsidP="00000000" w:rsidRDefault="00000000" w:rsidRPr="00000000" w14:paraId="00000039">
      <w:pPr>
        <w:ind w:right="27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ind w:right="277.7952755905511"/>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(some) </w:t>
      </w:r>
      <w:r w:rsidDel="00000000" w:rsidR="00000000" w:rsidRPr="00000000">
        <w:rPr>
          <w:rFonts w:ascii="Times New Roman" w:cs="Times New Roman" w:eastAsia="Times New Roman" w:hAnsi="Times New Roman"/>
          <w:sz w:val="28"/>
          <w:szCs w:val="28"/>
          <w:rtl w:val="0"/>
        </w:rPr>
        <w:t xml:space="preserve">REFERENCES</w:t>
      </w:r>
      <w:r w:rsidDel="00000000" w:rsidR="00000000" w:rsidRPr="00000000">
        <w:rPr>
          <w:rtl w:val="0"/>
        </w:rPr>
      </w:r>
    </w:p>
    <w:p w:rsidR="00000000" w:rsidDel="00000000" w:rsidP="00000000" w:rsidRDefault="00000000" w:rsidRPr="00000000" w14:paraId="0000003B">
      <w:pPr>
        <w:ind w:right="277.7952755905511"/>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C">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Bruno, Giordano. Acerca do Infinito, do Universo e dos Mundos, introd. Victor Matos e Sá; trad., notas e bibliografia de Aura Montenegro. Lisboa: Fundação Calouste Gulbenkian, 2016, 259 pp., ISBN 978-972-31-0003-7.</w:t>
      </w:r>
    </w:p>
    <w:p w:rsidR="00000000" w:rsidDel="00000000" w:rsidP="00000000" w:rsidRDefault="00000000" w:rsidRPr="00000000" w14:paraId="0000003D">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E">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Eugene Wigner, THE UNREASONABLE EFFECTIVENESS OF MATHEMATICS IN THE NATURAL SCIENCES, Reprinted from Communications in Pure and Applied Mathematics, Vol. 13, No. I (February 1960). New York:</w:t>
      </w:r>
    </w:p>
    <w:p w:rsidR="00000000" w:rsidDel="00000000" w:rsidP="00000000" w:rsidRDefault="00000000" w:rsidRPr="00000000" w14:paraId="0000003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John Wiley &amp; Sons, Inc. Copyright © 1960 by John Wiley &amp; Sons, Inc. </w:t>
      </w:r>
    </w:p>
    <w:p w:rsidR="00000000" w:rsidDel="00000000" w:rsidP="00000000" w:rsidRDefault="00000000" w:rsidRPr="00000000" w14:paraId="00000040">
      <w:pPr>
        <w:ind w:left="720" w:right="277.7952755905511"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Colyvan, Mark, Indispensability Arguments in the Philosophy of Mathematics, The Stanford Encyclopedia of Philosophy, Edward N. Zalta and Uri Nodelman, </w:t>
      </w:r>
      <w:hyperlink r:id="rId7">
        <w:r w:rsidDel="00000000" w:rsidR="00000000" w:rsidRPr="00000000">
          <w:rPr>
            <w:rFonts w:ascii="Times New Roman" w:cs="Times New Roman" w:eastAsia="Times New Roman" w:hAnsi="Times New Roman"/>
            <w:color w:val="1155cc"/>
            <w:sz w:val="16"/>
            <w:szCs w:val="16"/>
            <w:u w:val="single"/>
            <w:rtl w:val="0"/>
          </w:rPr>
          <w:t xml:space="preserve">https://plato.stanford.edu/archives/sum2024/entries/mathphil-indis</w:t>
        </w:r>
      </w:hyperlink>
      <w:r w:rsidDel="00000000" w:rsidR="00000000" w:rsidRPr="00000000">
        <w:rPr>
          <w:rFonts w:ascii="Times New Roman" w:cs="Times New Roman" w:eastAsia="Times New Roman" w:hAnsi="Times New Roman"/>
          <w:sz w:val="16"/>
          <w:szCs w:val="16"/>
          <w:rtl w:val="0"/>
        </w:rPr>
        <w:t xml:space="preserve">, 2024, Metaphysics Research Lab, Stanford University</w:t>
      </w:r>
    </w:p>
    <w:p w:rsidR="00000000" w:rsidDel="00000000" w:rsidP="00000000" w:rsidRDefault="00000000" w:rsidRPr="00000000" w14:paraId="00000042">
      <w:pPr>
        <w:ind w:left="720" w:right="277.7952755905511"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Bruno, Giordano. De Umbris Idearum. Paris, 1582. https://resources.warburg.sas.ac.uk/mnemosyne/Bruno/pdf/180229040x.pdf </w:t>
      </w:r>
    </w:p>
    <w:p w:rsidR="00000000" w:rsidDel="00000000" w:rsidP="00000000" w:rsidRDefault="00000000" w:rsidRPr="00000000" w14:paraId="0000004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Naraniecki, Alexander. “L. E. J. Brouwer and Karl Popper: Two Perspectives on Mathematics.” Cosmos and History: The Journal of Natural and Social Philosophy 10, no. 2 (2014): 239–255.</w:t>
      </w:r>
    </w:p>
    <w:p w:rsidR="00000000" w:rsidDel="00000000" w:rsidP="00000000" w:rsidRDefault="00000000" w:rsidRPr="00000000" w14:paraId="0000004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“Adaptive Wing and Flow Control Technology.” Progress in Aerospace Sciences 37 (2001): 455–514. </w:t>
      </w:r>
    </w:p>
    <w:p w:rsidR="00000000" w:rsidDel="00000000" w:rsidP="00000000" w:rsidRDefault="00000000" w:rsidRPr="00000000" w14:paraId="0000004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Newton, Paul, Geometry, Mechanics, and Dynamics, Volume in Honor of the 60th Birthday of J. E. Marsden. Editors: Paul Newton, Philip Holmes, Alan Weinstein. DOI: </w:t>
      </w:r>
      <w:hyperlink r:id="rId8">
        <w:r w:rsidDel="00000000" w:rsidR="00000000" w:rsidRPr="00000000">
          <w:rPr>
            <w:rFonts w:ascii="Times New Roman" w:cs="Times New Roman" w:eastAsia="Times New Roman" w:hAnsi="Times New Roman"/>
            <w:color w:val="1155cc"/>
            <w:sz w:val="16"/>
            <w:szCs w:val="16"/>
            <w:u w:val="single"/>
            <w:rtl w:val="0"/>
          </w:rPr>
          <w:t xml:space="preserve">https://doi.org/10.1007/b97525</w:t>
        </w:r>
      </w:hyperlink>
      <w:r w:rsidDel="00000000" w:rsidR="00000000" w:rsidRPr="00000000">
        <w:rPr>
          <w:rtl w:val="0"/>
        </w:rPr>
      </w:r>
    </w:p>
    <w:p w:rsidR="00000000" w:rsidDel="00000000" w:rsidP="00000000" w:rsidRDefault="00000000" w:rsidRPr="00000000" w14:paraId="0000004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Loye, David. “Darwin’s Lost Theory: Bridge to a Better World.” International Journal of Public Sociology 1, no. 1 (2023): 55–67. University of Minnesota Press (IJPS) platform article ID 5148</w:t>
      </w:r>
    </w:p>
    <w:p w:rsidR="00000000" w:rsidDel="00000000" w:rsidP="00000000" w:rsidRDefault="00000000" w:rsidRPr="00000000" w14:paraId="0000004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“Equifinality versus Multifinality.” In The SAGE Encyclopedia of Lifespan Human Development, ed. Marc H. Bornstein. Thousand Oaks, CA: SAGE, 2018.</w:t>
      </w:r>
    </w:p>
    <w:p w:rsidR="00000000" w:rsidDel="00000000" w:rsidP="00000000" w:rsidRDefault="00000000" w:rsidRPr="00000000" w14:paraId="0000004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ON THE NATURE OF THINGS, TITUS LUCRETIUS, A Metrical Translation, By William Ellery Leonard, https://www.gutenberg.org/files/785/785-h/785-h.htm</w:t>
      </w:r>
    </w:p>
    <w:p w:rsidR="00000000" w:rsidDel="00000000" w:rsidP="00000000" w:rsidRDefault="00000000" w:rsidRPr="00000000" w14:paraId="0000005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Carozza, Sofia, Danyal Akarca, and Duncan E. Astle. “The Adaptive Stochasticity Hypothesis: Modeling Equifinality, Multifinality, and Adaptation to Adversity.” Proceedings of the National Academy of Sciences 120, no. 42 (2023): e2307508120. </w:t>
      </w:r>
      <w:hyperlink r:id="rId9">
        <w:r w:rsidDel="00000000" w:rsidR="00000000" w:rsidRPr="00000000">
          <w:rPr>
            <w:rFonts w:ascii="Times New Roman" w:cs="Times New Roman" w:eastAsia="Times New Roman" w:hAnsi="Times New Roman"/>
            <w:color w:val="1155cc"/>
            <w:sz w:val="16"/>
            <w:szCs w:val="16"/>
            <w:u w:val="single"/>
            <w:rtl w:val="0"/>
          </w:rPr>
          <w:t xml:space="preserve">https://doi.org/10.1073/pnas.2307508120</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5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BROUWER, L.E.J. "CONSCIOUSNESS, PHILOSOPHY, AND MATHEMATICS." Philosophy and Foundations of Mathematics, (1974): 480-494. Accessed September 25, 2025. https://doi.org/10.1016/B978-0-7204-2076-0.50054-4.</w:t>
      </w:r>
    </w:p>
    <w:p w:rsidR="00000000" w:rsidDel="00000000" w:rsidP="00000000" w:rsidRDefault="00000000" w:rsidRPr="00000000" w14:paraId="0000005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Ferrère, Thomas. The First-Order Logic of Signals, Alexey Bakhirkin, Thomas Ferrere, Thomas A. Henzinger and Dejan Nickovi Univ. Grenoble Alpes, CNRS, Grenoble INP, VERIMAG, 38000 Austrian Institute of Technology</w:t>
      </w:r>
    </w:p>
    <w:p w:rsidR="00000000" w:rsidDel="00000000" w:rsidP="00000000" w:rsidRDefault="00000000" w:rsidRPr="00000000" w14:paraId="0000005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Pascal, Blaise. Pascal’s Pensées. Project Gutenberg, EBook #18269, 2006. https://www.gutenberg.org/ebooks/18269</w:t>
      </w:r>
    </w:p>
    <w:p w:rsidR="00000000" w:rsidDel="00000000" w:rsidP="00000000" w:rsidRDefault="00000000" w:rsidRPr="00000000" w14:paraId="0000005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Lopes, Fernando, Nuno Mamede, A. Q. Novais, and Helder Coelho. “A Negotiation Model for Autonomous Computational Agents: Formal Description and Empirical Evaluation.” Journal of Intelligent &amp; Fuzzy Systems 12, nos. 3–4 (2003): 195–212.</w:t>
      </w:r>
    </w:p>
    <w:p w:rsidR="00000000" w:rsidDel="00000000" w:rsidP="00000000" w:rsidRDefault="00000000" w:rsidRPr="00000000" w14:paraId="0000005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Mizutani, Ryuta, Senta Noguchi, Rino Saiga, Yuichi Yamashita, Mitsuhiro Miyashita, Makoto Arai, and Masanari Itokawa. "Schizophrenia-Mimicking Layers Outperform Conventional Neural Network Layers." Frontiers in Neurorobotics 16 (2022): 851471. </w:t>
      </w:r>
      <w:hyperlink r:id="rId10">
        <w:r w:rsidDel="00000000" w:rsidR="00000000" w:rsidRPr="00000000">
          <w:rPr>
            <w:rFonts w:ascii="Times New Roman" w:cs="Times New Roman" w:eastAsia="Times New Roman" w:hAnsi="Times New Roman"/>
            <w:color w:val="1155cc"/>
            <w:sz w:val="16"/>
            <w:szCs w:val="16"/>
            <w:u w:val="single"/>
            <w:rtl w:val="0"/>
          </w:rPr>
          <w:t xml:space="preserve">https://doi.org/10.3389/fnbot.2022.851471</w:t>
        </w:r>
      </w:hyperlink>
      <w:r w:rsidDel="00000000" w:rsidR="00000000" w:rsidRPr="00000000">
        <w:rPr>
          <w:rtl w:val="0"/>
        </w:rPr>
      </w:r>
    </w:p>
    <w:p w:rsidR="00000000" w:rsidDel="00000000" w:rsidP="00000000" w:rsidRDefault="00000000" w:rsidRPr="00000000" w14:paraId="0000005C">
      <w:pPr>
        <w:ind w:right="277.7952755905511"/>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Coelho, Helder. Sonho e razão: ao lado do artificial: reflexões pessoais sobre os agentes inteligentes. Lisboa: Fundação Calouste Gulbenkian, 2004, 304 pp., ISBN 9723110946 (see Coelho CV for related editions: 1996; 1999).</w:t>
      </w:r>
    </w:p>
    <w:p w:rsidR="00000000" w:rsidDel="00000000" w:rsidP="00000000" w:rsidRDefault="00000000" w:rsidRPr="00000000" w14:paraId="0000005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Church, Alonzo. Review of L. E. J. Brouwer, “Consciousness, Philosophy, and Mathematics,” Actes du Xe Congrès International de Philosophie (Amsterdam, 1948). Journal of Symbolic Logic 14, no. 2 (1949): 132–133.</w:t>
      </w:r>
    </w:p>
    <w:p w:rsidR="00000000" w:rsidDel="00000000" w:rsidP="00000000" w:rsidRDefault="00000000" w:rsidRPr="00000000" w14:paraId="0000006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Rodin, Andrei. “Does Identity Make Sense?” CDD: 510.1, Received: 15.07.2024; Revised:09.10.2024; Accepted: 15.10.2024 https://doi.org/10.1590/0100-6045.2024.V47N1.AR</w:t>
      </w:r>
    </w:p>
    <w:p w:rsidR="00000000" w:rsidDel="00000000" w:rsidP="00000000" w:rsidRDefault="00000000" w:rsidRPr="00000000" w14:paraId="0000006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Costa, Paulo Sérgio de Jesus. “Intuição Intelectual em Schelling: Perspectivas Práticas.” Síntese: Revista de Filosofia 27 (88) (2000): 199–211. https://doi.org/10.20911/21769389v27n88p199-211/2000.</w:t>
      </w:r>
    </w:p>
    <w:p w:rsidR="00000000" w:rsidDel="00000000" w:rsidP="00000000" w:rsidRDefault="00000000" w:rsidRPr="00000000" w14:paraId="0000006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Martin-Löf, Per. Philosophical Aspects of Intuitionistic Type Theory. Transcription of twelve lectures at Leiden University, 23 September–16 December 1993; edited transcription hosted by the PML archive.</w:t>
      </w:r>
    </w:p>
    <w:p w:rsidR="00000000" w:rsidDel="00000000" w:rsidP="00000000" w:rsidRDefault="00000000" w:rsidRPr="00000000" w14:paraId="0000006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Weyl, Hermann. Symmetry. Princeton: Princeton University Press, 1952; reprint 2015 (Princeton Science Library).Knill, Oliver. “Hermann Weyl: Symmetry.” Harvard teaching note (PDF)</w:t>
      </w:r>
    </w:p>
    <w:p w:rsidR="00000000" w:rsidDel="00000000" w:rsidP="00000000" w:rsidRDefault="00000000" w:rsidRPr="00000000" w14:paraId="0000006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Felsager, Bjørn. “Symmetry.” In Geometry, Particles, and Fields, 25–60. London: Springer, 2012. </w:t>
      </w:r>
      <w:hyperlink r:id="rId11">
        <w:r w:rsidDel="00000000" w:rsidR="00000000" w:rsidRPr="00000000">
          <w:rPr>
            <w:rFonts w:ascii="Times New Roman" w:cs="Times New Roman" w:eastAsia="Times New Roman" w:hAnsi="Times New Roman"/>
            <w:color w:val="1155cc"/>
            <w:sz w:val="16"/>
            <w:szCs w:val="16"/>
            <w:u w:val="single"/>
            <w:rtl w:val="0"/>
          </w:rPr>
          <w:t xml:space="preserve">https://doi.org/10.1007/978-1-4471-4616-2_2</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6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Devlin, Keith. Mathematics: The Science of Patterns. 1997. Scientific American Library. Accessed October 1, 2023. </w:t>
      </w:r>
      <w:hyperlink r:id="rId12">
        <w:r w:rsidDel="00000000" w:rsidR="00000000" w:rsidRPr="00000000">
          <w:rPr>
            <w:rFonts w:ascii="Times New Roman" w:cs="Times New Roman" w:eastAsia="Times New Roman" w:hAnsi="Times New Roman"/>
            <w:color w:val="1155cc"/>
            <w:sz w:val="16"/>
            <w:szCs w:val="16"/>
            <w:u w:val="single"/>
            <w:rtl w:val="0"/>
          </w:rPr>
          <w:t xml:space="preserve">https://archive.org/details/B-001-001-219</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6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Classen, C. Joachim. “Anaximander and Anaximenes: The Earliest Greek Theories of Change?” Phronesis 22, no. 2 (1977): 89–102. </w:t>
      </w:r>
      <w:hyperlink r:id="rId13">
        <w:r w:rsidDel="00000000" w:rsidR="00000000" w:rsidRPr="00000000">
          <w:rPr>
            <w:rFonts w:ascii="Times New Roman" w:cs="Times New Roman" w:eastAsia="Times New Roman" w:hAnsi="Times New Roman"/>
            <w:color w:val="1155cc"/>
            <w:sz w:val="16"/>
            <w:szCs w:val="16"/>
            <w:u w:val="single"/>
            <w:rtl w:val="0"/>
          </w:rPr>
          <w:t xml:space="preserve">http://www.jstor.org/stable/4182008</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6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van Dalen, D. (2013). Mathematics and Mysticism. In: L.E.J. Brouwer – Topologist, Intuitionist, Philosopher. Springer, London. https://doi.org/10.1007/978-1-4471-4616-2_2</w:t>
      </w:r>
    </w:p>
    <w:p w:rsidR="00000000" w:rsidDel="00000000" w:rsidP="00000000" w:rsidRDefault="00000000" w:rsidRPr="00000000" w14:paraId="0000007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Schmitter, Amy M. “17th and 18th Century Theories of Emotions.” Stanford Encyclopedia of Philosophy (Fall 2024 Edition). Stanford University.</w:t>
      </w:r>
    </w:p>
    <w:p w:rsidR="00000000" w:rsidDel="00000000" w:rsidP="00000000" w:rsidRDefault="00000000" w:rsidRPr="00000000" w14:paraId="0000007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Descartes, René. The Passions of the Soul. 1649 Jonathan Bennett 2017, </w:t>
      </w:r>
      <w:hyperlink r:id="rId14">
        <w:r w:rsidDel="00000000" w:rsidR="00000000" w:rsidRPr="00000000">
          <w:rPr>
            <w:rFonts w:ascii="Times New Roman" w:cs="Times New Roman" w:eastAsia="Times New Roman" w:hAnsi="Times New Roman"/>
            <w:color w:val="1155cc"/>
            <w:sz w:val="16"/>
            <w:szCs w:val="16"/>
            <w:u w:val="single"/>
            <w:rtl w:val="0"/>
          </w:rPr>
          <w:t xml:space="preserve">https://www.earlymoderntexts.com/assets/pdfs/descartes1649.pdf</w:t>
        </w:r>
      </w:hyperlink>
      <w:r w:rsidDel="00000000" w:rsidR="00000000" w:rsidRPr="00000000">
        <w:rPr>
          <w:rtl w:val="0"/>
        </w:rPr>
      </w:r>
    </w:p>
    <w:p w:rsidR="00000000" w:rsidDel="00000000" w:rsidP="00000000" w:rsidRDefault="00000000" w:rsidRPr="00000000" w14:paraId="0000007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Arnauld, Antoine, and Pierre Nicole. Logic, or the Art of Thinking (Port-Royal Logic). 1662 Spinoza, Benedict de. Ethics. 1677. </w:t>
      </w:r>
    </w:p>
    <w:p w:rsidR="00000000" w:rsidDel="00000000" w:rsidP="00000000" w:rsidRDefault="00000000" w:rsidRPr="00000000" w14:paraId="0000007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Botbol-Baum, Mylène. “The Necessary Articulation of Autonomy and Vulnerability.” Kennedy Institute of Ethics Journal 14, no. 4 (1997): 411–425.</w:t>
      </w:r>
    </w:p>
    <w:p w:rsidR="00000000" w:rsidDel="00000000" w:rsidP="00000000" w:rsidRDefault="00000000" w:rsidRPr="00000000" w14:paraId="0000007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Davis, Martin. “What Is a Computation?” In Mathematics Today: Twelve Informal Essays, edited by Lynn A. Steen, 241–267. New York: Springer, 1978.</w:t>
      </w:r>
    </w:p>
    <w:p w:rsidR="00000000" w:rsidDel="00000000" w:rsidP="00000000" w:rsidRDefault="00000000" w:rsidRPr="00000000" w14:paraId="0000007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Penrose, Roger. The Emperor’s New Mind: Concerning Computers, Minds, and the Laws of Physics. Oxford: Oxford University Press, 1989.</w:t>
      </w:r>
    </w:p>
    <w:p w:rsidR="00000000" w:rsidDel="00000000" w:rsidP="00000000" w:rsidRDefault="00000000" w:rsidRPr="00000000" w14:paraId="0000007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Weisstein, Eric W. “Halting Problem.” MathWorld—A Wolfram Resource. Reference entry (accessed September 25, 2025)</w:t>
      </w:r>
    </w:p>
    <w:p w:rsidR="00000000" w:rsidDel="00000000" w:rsidP="00000000" w:rsidRDefault="00000000" w:rsidRPr="00000000" w14:paraId="0000007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Watson, Richard A., and Eörs Szathmáry. “Natural Induction: Spontaneous Adaptive Organisation without Natural Selection.” Interface Focus 14, no. 5 (2024): 20240030.</w:t>
      </w:r>
    </w:p>
    <w:p w:rsidR="00000000" w:rsidDel="00000000" w:rsidP="00000000" w:rsidRDefault="00000000" w:rsidRPr="00000000" w14:paraId="0000008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Michael, and Christopher J. Fields. “Collective Intelligence of Morphogenesis as a Teleonomic Process.” Entropy 25, no. 8 (2023): 1174.</w:t>
      </w:r>
    </w:p>
    <w:p w:rsidR="00000000" w:rsidDel="00000000" w:rsidP="00000000" w:rsidRDefault="00000000" w:rsidRPr="00000000" w14:paraId="0000008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Ciaunica, Anna, Evgeniya V. Shmeleva, and Michael Levin. "The Brain Is Not Mental! Coupling Neuronal and Immune Cellular Processing in Human Organisms." Frontiers in Integrative Neuroscience 17, (2023): 1057622. Accessed September 25, 2025. </w:t>
      </w:r>
      <w:hyperlink r:id="rId15">
        <w:r w:rsidDel="00000000" w:rsidR="00000000" w:rsidRPr="00000000">
          <w:rPr>
            <w:rFonts w:ascii="Times New Roman" w:cs="Times New Roman" w:eastAsia="Times New Roman" w:hAnsi="Times New Roman"/>
            <w:color w:val="1155cc"/>
            <w:sz w:val="16"/>
            <w:szCs w:val="16"/>
            <w:u w:val="single"/>
            <w:rtl w:val="0"/>
          </w:rPr>
          <w:t xml:space="preserve">https://doi.org/10.3389/fnint.2023.1057622</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8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 Bioelectric networks: the cognitive glue enabling evolutionary scaling from physiology to mind. Anim Cogn 26, 1865–1891 (2023). </w:t>
      </w:r>
      <w:hyperlink r:id="rId16">
        <w:r w:rsidDel="00000000" w:rsidR="00000000" w:rsidRPr="00000000">
          <w:rPr>
            <w:rFonts w:ascii="Times New Roman" w:cs="Times New Roman" w:eastAsia="Times New Roman" w:hAnsi="Times New Roman"/>
            <w:color w:val="1155cc"/>
            <w:sz w:val="16"/>
            <w:szCs w:val="16"/>
            <w:u w:val="single"/>
            <w:rtl w:val="0"/>
          </w:rPr>
          <w:t xml:space="preserve">https://doi.org/10.1007/s10071-023-01780-3</w:t>
        </w:r>
      </w:hyperlink>
      <w:r w:rsidDel="00000000" w:rsidR="00000000" w:rsidRPr="00000000">
        <w:rPr>
          <w:rtl w:val="0"/>
        </w:rPr>
      </w:r>
    </w:p>
    <w:p w:rsidR="00000000" w:rsidDel="00000000" w:rsidP="00000000" w:rsidRDefault="00000000" w:rsidRPr="00000000" w14:paraId="0000008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Chickarmane, Vijay, et al. “Systems Analysis of Shoot Apical Meristem Growth and Development: Integrating Hormonal and Mechanical Signaling.” Plant Cell 24, no. 10 (2012): 3893–3907.</w:t>
      </w:r>
    </w:p>
    <w:p w:rsidR="00000000" w:rsidDel="00000000" w:rsidP="00000000" w:rsidRDefault="00000000" w:rsidRPr="00000000" w14:paraId="0000008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Abraham, Ralph  Vibrations and the Problem of Musical Scales (manuscript)</w:t>
      </w:r>
    </w:p>
    <w:p w:rsidR="00000000" w:rsidDel="00000000" w:rsidP="00000000" w:rsidRDefault="00000000" w:rsidRPr="00000000" w14:paraId="0000008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Abraham, Ralph  Chaos: A Microlecture Series  (manuscript)</w:t>
      </w:r>
    </w:p>
    <w:p w:rsidR="00000000" w:rsidDel="00000000" w:rsidP="00000000" w:rsidRDefault="00000000" w:rsidRPr="00000000" w14:paraId="0000008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Abraham, Ralph  On Morphodynamics: Selected Papers (1985)</w:t>
      </w:r>
    </w:p>
    <w:p w:rsidR="00000000" w:rsidDel="00000000" w:rsidP="00000000" w:rsidRDefault="00000000" w:rsidRPr="00000000" w14:paraId="0000008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Abraham, Ralph “Chaostrophes, Intermittency, and Noise.  (manuscript)</w:t>
      </w:r>
    </w:p>
    <w:p w:rsidR="00000000" w:rsidDel="00000000" w:rsidP="00000000" w:rsidRDefault="00000000" w:rsidRPr="00000000" w14:paraId="0000009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Abraham, Ralph, Mathematics and mysticism, Progress in Biophysics and Molecular Biology, Volume 119, Issue 3, 2015,Pages 442-452, ISSN 0079-6107, </w:t>
      </w:r>
      <w:hyperlink r:id="rId17">
        <w:r w:rsidDel="00000000" w:rsidR="00000000" w:rsidRPr="00000000">
          <w:rPr>
            <w:rFonts w:ascii="Times New Roman" w:cs="Times New Roman" w:eastAsia="Times New Roman" w:hAnsi="Times New Roman"/>
            <w:color w:val="1155cc"/>
            <w:sz w:val="16"/>
            <w:szCs w:val="16"/>
            <w:u w:val="single"/>
            <w:rtl w:val="0"/>
          </w:rPr>
          <w:t xml:space="preserve">https://doi.org/10.1016/j.pbiomolbio.2015.08.016</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9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Rota, Gian-Carlo. "The Phenomenology of Mathematical Beauty." Synthese 111, no. 2 (1997): 171–182</w:t>
      </w:r>
    </w:p>
    <w:p w:rsidR="00000000" w:rsidDel="00000000" w:rsidP="00000000" w:rsidRDefault="00000000" w:rsidRPr="00000000" w14:paraId="0000009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5">
      <w:pPr>
        <w:numPr>
          <w:ilvl w:val="0"/>
          <w:numId w:val="2"/>
        </w:numPr>
        <w:ind w:left="720" w:right="277.7952755905511"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sz w:val="16"/>
          <w:szCs w:val="16"/>
          <w:rtl w:val="0"/>
        </w:rPr>
        <w:t xml:space="preserve">Yonekura, T., Sugiyama, M. A new mathematical model of phyllotaxis to solve the genuine puzzle spiromonostichy. J Plant Res 137, 143–155 (2024). https://doi.org/10.1007/s10265-023-01503-2</w:t>
      </w:r>
    </w:p>
    <w:p w:rsidR="00000000" w:rsidDel="00000000" w:rsidP="00000000" w:rsidRDefault="00000000" w:rsidRPr="00000000" w14:paraId="00000096">
      <w:pPr>
        <w:ind w:left="720" w:right="277.7952755905511"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9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Coimbra, João. “Noether’s Theorem (Hw 13 and 14).” Instituto Superior Técnico, 2021. PDF, accessed September 25, 2025.</w:t>
      </w:r>
    </w:p>
    <w:p w:rsidR="00000000" w:rsidDel="00000000" w:rsidP="00000000" w:rsidRDefault="00000000" w:rsidRPr="00000000" w14:paraId="0000009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Edelsbrunner, Herbert, and John L. Harer. Computational Topology: An Introduction. Providence, RI: American Mathematical Society, 2010</w:t>
      </w:r>
    </w:p>
    <w:p w:rsidR="00000000" w:rsidDel="00000000" w:rsidP="00000000" w:rsidRDefault="00000000" w:rsidRPr="00000000" w14:paraId="0000009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Alloway, Thomas M. "Retention of Learning through Metamorphosis in the Grain Beetle (Tenebrio molitor)." American Zoologist 12, no. 3 (1972): 471–477</w:t>
      </w:r>
    </w:p>
    <w:p w:rsidR="00000000" w:rsidDel="00000000" w:rsidP="00000000" w:rsidRDefault="00000000" w:rsidRPr="00000000" w14:paraId="0000009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Blackiston, Douglas J., Elena Silva Casey, and Martha R. Weiss. "Retention of Memory through Metamorphosis: Can a Moth Remember What It Learned as a Caterpillar?" PLoS ONE 3, no. 3 (2008): e1736.</w:t>
      </w:r>
    </w:p>
    <w:p w:rsidR="00000000" w:rsidDel="00000000" w:rsidP="00000000" w:rsidRDefault="00000000" w:rsidRPr="00000000" w14:paraId="0000009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Lauga, Eric, and Thomas R. Powers. “The Hydrodynamics of Swimming Microorganisms.” Reports on Progress in Physics 72, no. 9 (2009): 096601.</w:t>
      </w:r>
    </w:p>
    <w:p w:rsidR="00000000" w:rsidDel="00000000" w:rsidP="00000000" w:rsidRDefault="00000000" w:rsidRPr="00000000" w14:paraId="000000A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Mizutani, Kimihiro. "Stateless Node Failure Information Propagation Scheme for Stable Overlay Networks." IEEE Access 9 (2021): 88737–88745</w:t>
      </w:r>
    </w:p>
    <w:p w:rsidR="00000000" w:rsidDel="00000000" w:rsidP="00000000" w:rsidRDefault="00000000" w:rsidRPr="00000000" w14:paraId="000000A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Avram, Florin, et al. "Optimal Durations of Single Exposures to a Frequency-Modulated Magnetic Field Immediately After Bisection in Planarian Predict Final Growth Values." Bioelectromagnetics 34, no. 8 (2013): 643–651</w:t>
      </w:r>
    </w:p>
    <w:p w:rsidR="00000000" w:rsidDel="00000000" w:rsidP="00000000" w:rsidRDefault="00000000" w:rsidRPr="00000000" w14:paraId="000000A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Marchetti, M. Cristina, Jean-François Joanny, Sriram Ramaswamy, et al. “Hydrodynamics of Soft Active Matter.” Reviews of Modern Physics 85, no. 3 (2013): 1143–1189.</w:t>
      </w:r>
    </w:p>
    <w:p w:rsidR="00000000" w:rsidDel="00000000" w:rsidP="00000000" w:rsidRDefault="00000000" w:rsidRPr="00000000" w14:paraId="000000A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Meng, Fanlong, Rachel R. Bennett, Nariya Uchida, and Ramin Golestanian. “Conditions for Metachronal Coordination in Arrays of Model Cilia.” Proceedings of the National Academy of Sciences 118, no. 32 (2021): e2102828118.</w:t>
      </w:r>
    </w:p>
    <w:p w:rsidR="00000000" w:rsidDel="00000000" w:rsidP="00000000" w:rsidRDefault="00000000" w:rsidRPr="00000000" w14:paraId="000000A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Onsager, Lars. “Reciprocal Relations in Irreversible Processes. I, II” Physical Review 37-38, no. 4 (1931): 405–426.</w:t>
      </w:r>
    </w:p>
    <w:p w:rsidR="00000000" w:rsidDel="00000000" w:rsidP="00000000" w:rsidRDefault="00000000" w:rsidRPr="00000000" w14:paraId="000000A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Bird, R. Byron, Warren E. Stewart, and Edwin N. Lightfoot. Transport Phenomena. 2nd ed. New York: John Wiley &amp; Sons, 2001.</w:t>
      </w:r>
    </w:p>
    <w:p w:rsidR="00000000" w:rsidDel="00000000" w:rsidP="00000000" w:rsidRDefault="00000000" w:rsidRPr="00000000" w14:paraId="000000A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 Groot, S. R., and Peter Mazur. Non-Equilibrium Thermodynamics. Amsterdam: North-Holland Publishing Company, 1962.</w:t>
      </w:r>
    </w:p>
    <w:p w:rsidR="00000000" w:rsidDel="00000000" w:rsidP="00000000" w:rsidRDefault="00000000" w:rsidRPr="00000000" w14:paraId="000000A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Grmela, Miroslav, and Hans Christian Öttinger. "Dynamics and Thermodynamics of Complex Fluids. I. Development of a General Formalism." Physical Review E 56, no. 6 (1997): 6620–6632. </w:t>
      </w:r>
      <w:hyperlink r:id="rId18">
        <w:r w:rsidDel="00000000" w:rsidR="00000000" w:rsidRPr="00000000">
          <w:rPr>
            <w:rFonts w:ascii="Times New Roman" w:cs="Times New Roman" w:eastAsia="Times New Roman" w:hAnsi="Times New Roman"/>
            <w:color w:val="1155cc"/>
            <w:sz w:val="16"/>
            <w:szCs w:val="16"/>
            <w:u w:val="single"/>
            <w:rtl w:val="0"/>
          </w:rPr>
          <w:t xml:space="preserve">https://doi.org/10.1103/PhysRevE.56.6620</w:t>
        </w:r>
      </w:hyperlink>
      <w:r w:rsidDel="00000000" w:rsidR="00000000" w:rsidRPr="00000000">
        <w:rPr>
          <w:rtl w:val="0"/>
        </w:rPr>
      </w:r>
    </w:p>
    <w:p w:rsidR="00000000" w:rsidDel="00000000" w:rsidP="00000000" w:rsidRDefault="00000000" w:rsidRPr="00000000" w14:paraId="000000B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Kolmogorov, Andrey N. "The Local Structure of Turbulence in Incompressible Viscous Fluid for Very Large Reynolds Numbers." Doklady Akademii Nauk SSSR 30 (1941): 301–305.</w:t>
      </w:r>
    </w:p>
    <w:p w:rsidR="00000000" w:rsidDel="00000000" w:rsidP="00000000" w:rsidRDefault="00000000" w:rsidRPr="00000000" w14:paraId="000000B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Landau, Lev D., and Evgeny M. Lifshitz. Electrodynamics of Continuous Media. Course of Theoretical Physics, Vol. 8. Oxford: Pergamon Press, 1984.</w:t>
      </w:r>
    </w:p>
    <w:p w:rsidR="00000000" w:rsidDel="00000000" w:rsidP="00000000" w:rsidRDefault="00000000" w:rsidRPr="00000000" w14:paraId="000000B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Prigogine, Ilya. Self-Organization in Nonequilibrium Systems: From Dissipative Structures to Order through Fluctuations. New York: John Wiley &amp; Sons, 1977.</w:t>
      </w:r>
    </w:p>
    <w:p w:rsidR="00000000" w:rsidDel="00000000" w:rsidP="00000000" w:rsidRDefault="00000000" w:rsidRPr="00000000" w14:paraId="000000B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Zheng, Zheng, Pierre Beck, Tian Yang, Omid Ashtari, Jeremy P. Parker, and Tobias M. Schneider. 2024. Ghost States Underlying Spatial and Temporal Patterns: How Non-Existing Invariant Solutions Control Nonlinear Dynamics. Emergent Complexity in Physical Systems Laboratory (ECPS), Ecole Polytechnique Fédérale de Lausanne, Switzerland.</w:t>
      </w:r>
    </w:p>
    <w:p w:rsidR="00000000" w:rsidDel="00000000" w:rsidP="00000000" w:rsidRDefault="00000000" w:rsidRPr="00000000" w14:paraId="000000B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Altair Engineering. "Using Numerical Green's Function to Reduce CPU Time." FEKO User Guide, 2021. </w:t>
      </w:r>
      <w:hyperlink r:id="rId19">
        <w:r w:rsidDel="00000000" w:rsidR="00000000" w:rsidRPr="00000000">
          <w:rPr>
            <w:rFonts w:ascii="Times New Roman" w:cs="Times New Roman" w:eastAsia="Times New Roman" w:hAnsi="Times New Roman"/>
            <w:color w:val="1155cc"/>
            <w:sz w:val="16"/>
            <w:szCs w:val="16"/>
            <w:u w:val="single"/>
            <w:rtl w:val="0"/>
          </w:rPr>
          <w:t xml:space="preserve">https://help.altair.com/2021/feko/topics/feko/user_guide/cadfeko/ngf_reduce_cpu_time_feko_t-cadfeko.htm</w:t>
        </w:r>
      </w:hyperlink>
      <w:r w:rsidDel="00000000" w:rsidR="00000000" w:rsidRPr="00000000">
        <w:rPr>
          <w:rtl w:val="0"/>
        </w:rPr>
      </w:r>
    </w:p>
    <w:p w:rsidR="00000000" w:rsidDel="00000000" w:rsidP="00000000" w:rsidRDefault="00000000" w:rsidRPr="00000000" w14:paraId="000000B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Doostmohammadi, A., J. Ignés-Mullol, J. M. Yeomans, and F. Sagués. 2018. “Active Nematics.” Nature Communications 9: 3246.</w:t>
      </w:r>
    </w:p>
    <w:p w:rsidR="00000000" w:rsidDel="00000000" w:rsidP="00000000" w:rsidRDefault="00000000" w:rsidRPr="00000000" w14:paraId="000000B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Landau, L. D., and E. M. Lifshitz. 1984. Electrodynamics of Continuous Media. 2nd ed., Course of Theoretical Physics Vol. 8. Oxford: Pergamon Press</w:t>
      </w:r>
    </w:p>
    <w:p w:rsidR="00000000" w:rsidDel="00000000" w:rsidP="00000000" w:rsidRDefault="00000000" w:rsidRPr="00000000" w14:paraId="000000B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Agam, Oded, and Ehud Braun. "Fluctuation-Driven Morphogenesis." Entropy 26, no. 10 (2024): 821. </w:t>
      </w:r>
      <w:hyperlink r:id="rId20">
        <w:r w:rsidDel="00000000" w:rsidR="00000000" w:rsidRPr="00000000">
          <w:rPr>
            <w:rFonts w:ascii="Times New Roman" w:cs="Times New Roman" w:eastAsia="Times New Roman" w:hAnsi="Times New Roman"/>
            <w:color w:val="1155cc"/>
            <w:sz w:val="16"/>
            <w:szCs w:val="16"/>
            <w:u w:val="single"/>
            <w:rtl w:val="0"/>
          </w:rPr>
          <w:t xml:space="preserve">https://doi.org/10.3390/e26100821</w:t>
        </w:r>
      </w:hyperlink>
      <w:r w:rsidDel="00000000" w:rsidR="00000000" w:rsidRPr="00000000">
        <w:rPr>
          <w:rtl w:val="0"/>
        </w:rPr>
      </w:r>
    </w:p>
    <w:p w:rsidR="00000000" w:rsidDel="00000000" w:rsidP="00000000" w:rsidRDefault="00000000" w:rsidRPr="00000000" w14:paraId="000000C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Agam, Oded, and Ehud Braun. "From Discrete to Continuous: Information Geometry and Critical Transitions in Fluctuation-Driven Systems." Journal of Physics Communications 2, no. 5 (2018): aab642. </w:t>
      </w:r>
      <w:hyperlink r:id="rId21">
        <w:r w:rsidDel="00000000" w:rsidR="00000000" w:rsidRPr="00000000">
          <w:rPr>
            <w:rFonts w:ascii="Times New Roman" w:cs="Times New Roman" w:eastAsia="Times New Roman" w:hAnsi="Times New Roman"/>
            <w:color w:val="1155cc"/>
            <w:sz w:val="16"/>
            <w:szCs w:val="16"/>
            <w:u w:val="single"/>
            <w:rtl w:val="0"/>
          </w:rPr>
          <w:t xml:space="preserve">https://iopscience.iop.org/article/10.1088/2399-6528/aab642</w:t>
        </w:r>
      </w:hyperlink>
      <w:r w:rsidDel="00000000" w:rsidR="00000000" w:rsidRPr="00000000">
        <w:rPr>
          <w:rtl w:val="0"/>
        </w:rPr>
      </w:r>
    </w:p>
    <w:p w:rsidR="00000000" w:rsidDel="00000000" w:rsidP="00000000" w:rsidRDefault="00000000" w:rsidRPr="00000000" w14:paraId="000000C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Allgower, Eugene L., and Kurt Georg. Introduction to Numerical Continuation Methods. Philadelphia: SIAM, 2003.</w:t>
      </w:r>
    </w:p>
    <w:p w:rsidR="00000000" w:rsidDel="00000000" w:rsidP="00000000" w:rsidRDefault="00000000" w:rsidRPr="00000000" w14:paraId="000000C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Amos, Lynne A., and Aaron Klug. "Arrangement of Subunits in Flagellar Microtubules." Journal of Cell Science 14, no. 3 (1974): 523–549 </w:t>
      </w:r>
      <w:hyperlink r:id="rId22">
        <w:r w:rsidDel="00000000" w:rsidR="00000000" w:rsidRPr="00000000">
          <w:rPr>
            <w:rFonts w:ascii="Times New Roman" w:cs="Times New Roman" w:eastAsia="Times New Roman" w:hAnsi="Times New Roman"/>
            <w:color w:val="1155cc"/>
            <w:sz w:val="16"/>
            <w:szCs w:val="16"/>
            <w:u w:val="single"/>
            <w:rtl w:val="0"/>
          </w:rPr>
          <w:t xml:space="preserve">https://doi.org/10.1242/jcs.14.3.523</w:t>
        </w:r>
      </w:hyperlink>
      <w:r w:rsidDel="00000000" w:rsidR="00000000" w:rsidRPr="00000000">
        <w:rPr>
          <w:rtl w:val="0"/>
        </w:rPr>
      </w:r>
    </w:p>
    <w:p w:rsidR="00000000" w:rsidDel="00000000" w:rsidP="00000000" w:rsidRDefault="00000000" w:rsidRPr="00000000" w14:paraId="000000C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Brennesholtz, Matthew S., and Edward H. Stupp. Projection Displays. John Wiley &amp; Sons, 2008.</w:t>
      </w:r>
    </w:p>
    <w:p w:rsidR="00000000" w:rsidDel="00000000" w:rsidP="00000000" w:rsidRDefault="00000000" w:rsidRPr="00000000" w14:paraId="000000C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Asllani, Malbor, et al. "Noisy Neighbors and the Evolution of Cooperation through Stochastic Bifurcations." Chemical Reviews 123, no. 6 (2023): 2895–2930. </w:t>
      </w:r>
      <w:hyperlink r:id="rId23">
        <w:r w:rsidDel="00000000" w:rsidR="00000000" w:rsidRPr="00000000">
          <w:rPr>
            <w:rFonts w:ascii="Times New Roman" w:cs="Times New Roman" w:eastAsia="Times New Roman" w:hAnsi="Times New Roman"/>
            <w:color w:val="1155cc"/>
            <w:sz w:val="16"/>
            <w:szCs w:val="16"/>
            <w:u w:val="single"/>
            <w:rtl w:val="0"/>
          </w:rPr>
          <w:t xml:space="preserve">https://doi.org/10.1021/acs.chemrev.2c00895</w:t>
        </w:r>
      </w:hyperlink>
      <w:r w:rsidDel="00000000" w:rsidR="00000000" w:rsidRPr="00000000">
        <w:rPr>
          <w:rtl w:val="0"/>
        </w:rPr>
      </w:r>
    </w:p>
    <w:p w:rsidR="00000000" w:rsidDel="00000000" w:rsidP="00000000" w:rsidRDefault="00000000" w:rsidRPr="00000000" w14:paraId="000000C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Bertram, Richard, et al. "Applying the Prigogine View of Dissipative Systems to the Major Transitions in Evolution." Paleobiology 48, no. 3 (2022): 355–374. </w:t>
      </w:r>
      <w:hyperlink r:id="rId24">
        <w:r w:rsidDel="00000000" w:rsidR="00000000" w:rsidRPr="00000000">
          <w:rPr>
            <w:rFonts w:ascii="Times New Roman" w:cs="Times New Roman" w:eastAsia="Times New Roman" w:hAnsi="Times New Roman"/>
            <w:color w:val="1155cc"/>
            <w:sz w:val="16"/>
            <w:szCs w:val="16"/>
            <w:u w:val="single"/>
            <w:rtl w:val="0"/>
          </w:rPr>
          <w:t xml:space="preserve">https://doi.org/10.1017/pab.2021.47</w:t>
        </w:r>
      </w:hyperlink>
      <w:r w:rsidDel="00000000" w:rsidR="00000000" w:rsidRPr="00000000">
        <w:rPr>
          <w:rtl w:val="0"/>
        </w:rPr>
      </w:r>
    </w:p>
    <w:p w:rsidR="00000000" w:rsidDel="00000000" w:rsidP="00000000" w:rsidRDefault="00000000" w:rsidRPr="00000000" w14:paraId="000000C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Deutsch, Ariel N., Gregory A. Neumann, James W. Head, and Lionel Wilson. "GRAIL-identified Gravity Anomalies in Oceanus Procellarum: Insight into Subsurface Impact and Magmatic Structures on the Moon." Icarus 331 (2019): 192–207. </w:t>
      </w:r>
      <w:hyperlink r:id="rId25">
        <w:r w:rsidDel="00000000" w:rsidR="00000000" w:rsidRPr="00000000">
          <w:rPr>
            <w:rFonts w:ascii="Times New Roman" w:cs="Times New Roman" w:eastAsia="Times New Roman" w:hAnsi="Times New Roman"/>
            <w:color w:val="1155cc"/>
            <w:sz w:val="16"/>
            <w:szCs w:val="16"/>
            <w:u w:val="single"/>
            <w:rtl w:val="0"/>
          </w:rPr>
          <w:t xml:space="preserve">https://doi.org/10.1016/j.icarus.2019.0</w:t>
        </w:r>
      </w:hyperlink>
      <w:r w:rsidDel="00000000" w:rsidR="00000000" w:rsidRPr="00000000">
        <w:rPr>
          <w:rFonts w:ascii="Times New Roman" w:cs="Times New Roman" w:eastAsia="Times New Roman" w:hAnsi="Times New Roman"/>
          <w:sz w:val="16"/>
          <w:szCs w:val="16"/>
          <w:rtl w:val="0"/>
        </w:rPr>
        <w:t xml:space="preserve"> 5.027</w:t>
      </w:r>
    </w:p>
    <w:p w:rsidR="00000000" w:rsidDel="00000000" w:rsidP="00000000" w:rsidRDefault="00000000" w:rsidRPr="00000000" w14:paraId="000000C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Elgeti, Jens, and Gerhard Gompper. "Emergence of Metachronal Waves in Cilia Arrays." Proceedings of the National Academy of Sciences 110, no. 11 (2013): 4470–4475. </w:t>
      </w:r>
      <w:hyperlink r:id="rId26">
        <w:r w:rsidDel="00000000" w:rsidR="00000000" w:rsidRPr="00000000">
          <w:rPr>
            <w:rFonts w:ascii="Times New Roman" w:cs="Times New Roman" w:eastAsia="Times New Roman" w:hAnsi="Times New Roman"/>
            <w:color w:val="1155cc"/>
            <w:sz w:val="16"/>
            <w:szCs w:val="16"/>
            <w:u w:val="single"/>
            <w:rtl w:val="0"/>
          </w:rPr>
          <w:t xml:space="preserve">https://doi.org/10.1073/pnas.1218869110</w:t>
        </w:r>
      </w:hyperlink>
      <w:r w:rsidDel="00000000" w:rsidR="00000000" w:rsidRPr="00000000">
        <w:rPr>
          <w:rtl w:val="0"/>
        </w:rPr>
      </w:r>
    </w:p>
    <w:p w:rsidR="00000000" w:rsidDel="00000000" w:rsidP="00000000" w:rsidRDefault="00000000" w:rsidRPr="00000000" w14:paraId="000000D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Fiscaletti, Daniele, Roeland de Kat, and Bharathram Ganapathisubramani. "Spatial-spectral Characteristics of Momentum Transport in a Turbulent Boundary Layer." Journal of Fluid Mechanics 836 (2018): 5–35. https://doi.org/10.1017/jfm.2017.841</w:t>
      </w:r>
    </w:p>
    <w:p w:rsidR="00000000" w:rsidDel="00000000" w:rsidP="00000000" w:rsidRDefault="00000000" w:rsidRPr="00000000" w14:paraId="000000D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Laxague, Nathan J. M., Christopher J. Zappa, Deborah A. LeBel, and Michael L. Banner. "Spectral Characteristics of Gravity-Capillary</w:t>
      </w:r>
    </w:p>
    <w:p w:rsidR="00000000" w:rsidDel="00000000" w:rsidP="00000000" w:rsidRDefault="00000000" w:rsidRPr="00000000" w14:paraId="000000D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Waves, With Connections to Wave Growth and Microbreaking." Journal of Geophysical Research: Oceans 123, no. 7 (2018): 4576–4592. </w:t>
      </w:r>
      <w:hyperlink r:id="rId27">
        <w:r w:rsidDel="00000000" w:rsidR="00000000" w:rsidRPr="00000000">
          <w:rPr>
            <w:rFonts w:ascii="Times New Roman" w:cs="Times New Roman" w:eastAsia="Times New Roman" w:hAnsi="Times New Roman"/>
            <w:color w:val="1155cc"/>
            <w:sz w:val="16"/>
            <w:szCs w:val="16"/>
            <w:u w:val="single"/>
            <w:rtl w:val="0"/>
          </w:rPr>
          <w:t xml:space="preserve">https://doi.org/10.1029/2018JC013859</w:t>
        </w:r>
      </w:hyperlink>
      <w:r w:rsidDel="00000000" w:rsidR="00000000" w:rsidRPr="00000000">
        <w:rPr>
          <w:rtl w:val="0"/>
        </w:rPr>
      </w:r>
    </w:p>
    <w:p w:rsidR="00000000" w:rsidDel="00000000" w:rsidP="00000000" w:rsidRDefault="00000000" w:rsidRPr="00000000" w14:paraId="000000D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Atela, Pau, et al. "Biophysical Optimality of the Golden Angle in Phyllotaxis." Scientific Reports 5 (2015): 15358. </w:t>
      </w:r>
      <w:hyperlink r:id="rId28">
        <w:r w:rsidDel="00000000" w:rsidR="00000000" w:rsidRPr="00000000">
          <w:rPr>
            <w:rFonts w:ascii="Times New Roman" w:cs="Times New Roman" w:eastAsia="Times New Roman" w:hAnsi="Times New Roman"/>
            <w:color w:val="1155cc"/>
            <w:sz w:val="16"/>
            <w:szCs w:val="16"/>
            <w:u w:val="single"/>
            <w:rtl w:val="0"/>
          </w:rPr>
          <w:t xml:space="preserve">https://doi.org/10.1038/srep15358</w:t>
        </w:r>
      </w:hyperlink>
      <w:r w:rsidDel="00000000" w:rsidR="00000000" w:rsidRPr="00000000">
        <w:rPr>
          <w:rtl w:val="0"/>
        </w:rPr>
      </w:r>
    </w:p>
    <w:p w:rsidR="00000000" w:rsidDel="00000000" w:rsidP="00000000" w:rsidRDefault="00000000" w:rsidRPr="00000000" w14:paraId="000000D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Douady, Stéphane, and Yves Couder. "Phyllotaxis as a Dynamical Self Organizing Process Part I: The Spiral Modes Resulting from TimePeriodic Iterations." Journal of Theoretical Biology 178, no. 3 (1996): 255–273. https://doi.org/10.1006/jtbi.1996.0024</w:t>
      </w:r>
    </w:p>
    <w:p w:rsidR="00000000" w:rsidDel="00000000" w:rsidP="00000000" w:rsidRDefault="00000000" w:rsidRPr="00000000" w14:paraId="000000D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Hörning, Marcel, and Eberhard Schöll. "Noise and Robustness in Phyllotaxis." PLoS Computational Biology 8, no. 6 (2012): e1002389. Http s://</w:t>
      </w:r>
      <w:hyperlink r:id="rId29">
        <w:r w:rsidDel="00000000" w:rsidR="00000000" w:rsidRPr="00000000">
          <w:rPr>
            <w:rFonts w:ascii="Times New Roman" w:cs="Times New Roman" w:eastAsia="Times New Roman" w:hAnsi="Times New Roman"/>
            <w:color w:val="1155cc"/>
            <w:sz w:val="16"/>
            <w:szCs w:val="16"/>
            <w:u w:val="single"/>
            <w:rtl w:val="0"/>
          </w:rPr>
          <w:t xml:space="preserve">doi.org/10.1371/journal.pcbi.1002389</w:t>
        </w:r>
      </w:hyperlink>
      <w:r w:rsidDel="00000000" w:rsidR="00000000" w:rsidRPr="00000000">
        <w:rPr>
          <w:rtl w:val="0"/>
        </w:rPr>
      </w:r>
    </w:p>
    <w:p w:rsidR="00000000" w:rsidDel="00000000" w:rsidP="00000000" w:rsidRDefault="00000000" w:rsidRPr="00000000" w14:paraId="000000D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Jönsson, Henrik, et al. "An Auxin-driven Polarized Transport Model for Phyllotaxis." Proceedings of the National Academy of Sciences 103, no. 5 (2006): 1633–1638. </w:t>
      </w:r>
      <w:hyperlink r:id="rId30">
        <w:r w:rsidDel="00000000" w:rsidR="00000000" w:rsidRPr="00000000">
          <w:rPr>
            <w:rFonts w:ascii="Times New Roman" w:cs="Times New Roman" w:eastAsia="Times New Roman" w:hAnsi="Times New Roman"/>
            <w:color w:val="1155cc"/>
            <w:sz w:val="16"/>
            <w:szCs w:val="16"/>
            <w:u w:val="single"/>
            <w:rtl w:val="0"/>
          </w:rPr>
          <w:t xml:space="preserve">https://doi.org/10.1073/pnas.0509839103</w:t>
        </w:r>
      </w:hyperlink>
      <w:r w:rsidDel="00000000" w:rsidR="00000000" w:rsidRPr="00000000">
        <w:rPr>
          <w:rtl w:val="0"/>
        </w:rPr>
      </w:r>
    </w:p>
    <w:p w:rsidR="00000000" w:rsidDel="00000000" w:rsidP="00000000" w:rsidRDefault="00000000" w:rsidRPr="00000000" w14:paraId="000000D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Shipman, Patrick D., and Alan C. Newell. "Phyllotactic Patterns on Plants." Physical Review Letters 92, no. 16 (2004): 168102. </w:t>
      </w:r>
      <w:hyperlink r:id="rId31">
        <w:r w:rsidDel="00000000" w:rsidR="00000000" w:rsidRPr="00000000">
          <w:rPr>
            <w:rFonts w:ascii="Times New Roman" w:cs="Times New Roman" w:eastAsia="Times New Roman" w:hAnsi="Times New Roman"/>
            <w:color w:val="1155cc"/>
            <w:sz w:val="16"/>
            <w:szCs w:val="16"/>
            <w:u w:val="single"/>
            <w:rtl w:val="0"/>
          </w:rPr>
          <w:t xml:space="preserve">https://doi.or</w:t>
        </w:r>
      </w:hyperlink>
      <w:r w:rsidDel="00000000" w:rsidR="00000000" w:rsidRPr="00000000">
        <w:rPr>
          <w:rFonts w:ascii="Times New Roman" w:cs="Times New Roman" w:eastAsia="Times New Roman" w:hAnsi="Times New Roman"/>
          <w:sz w:val="16"/>
          <w:szCs w:val="16"/>
          <w:rtl w:val="0"/>
        </w:rPr>
        <w:t xml:space="preserve"> g/10.1103/PhysRevLett.92.168102</w:t>
      </w:r>
    </w:p>
    <w:p w:rsidR="00000000" w:rsidDel="00000000" w:rsidP="00000000" w:rsidRDefault="00000000" w:rsidRPr="00000000" w14:paraId="000000E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Hameroff, Stuart, and Roger Penrose. "Orchestrated Reduction of Quantum Coherence in Brain Microtubules: A Model for Consciousness." Mathematics and Computers in Simulation 40, no. 3-4 (1996): 453–480. </w:t>
      </w:r>
      <w:hyperlink r:id="rId32">
        <w:r w:rsidDel="00000000" w:rsidR="00000000" w:rsidRPr="00000000">
          <w:rPr>
            <w:rFonts w:ascii="Times New Roman" w:cs="Times New Roman" w:eastAsia="Times New Roman" w:hAnsi="Times New Roman"/>
            <w:color w:val="1155cc"/>
            <w:sz w:val="16"/>
            <w:szCs w:val="16"/>
            <w:u w:val="single"/>
            <w:rtl w:val="0"/>
          </w:rPr>
          <w:t xml:space="preserve">https://doi.org/10.1016/0378-4754(96)80476-9</w:t>
        </w:r>
      </w:hyperlink>
      <w:r w:rsidDel="00000000" w:rsidR="00000000" w:rsidRPr="00000000">
        <w:rPr>
          <w:rtl w:val="0"/>
        </w:rPr>
      </w:r>
    </w:p>
    <w:p w:rsidR="00000000" w:rsidDel="00000000" w:rsidP="00000000" w:rsidRDefault="00000000" w:rsidRPr="00000000" w14:paraId="000000E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Lundholm, Igor V., et al. "Terahertz Radiation Induces Non-thermal Structural Changes Associated with Fröhlich Condensation in a Protein Crystal." Structural Dynamics 2, no. 5 (2015): 054702. </w:t>
      </w:r>
      <w:hyperlink r:id="rId33">
        <w:r w:rsidDel="00000000" w:rsidR="00000000" w:rsidRPr="00000000">
          <w:rPr>
            <w:rFonts w:ascii="Times New Roman" w:cs="Times New Roman" w:eastAsia="Times New Roman" w:hAnsi="Times New Roman"/>
            <w:color w:val="1155cc"/>
            <w:sz w:val="16"/>
            <w:szCs w:val="16"/>
            <w:u w:val="single"/>
            <w:rtl w:val="0"/>
          </w:rPr>
          <w:t xml:space="preserve">https://doi.org/10.1063/1.4931825</w:t>
        </w:r>
      </w:hyperlink>
      <w:r w:rsidDel="00000000" w:rsidR="00000000" w:rsidRPr="00000000">
        <w:rPr>
          <w:rtl w:val="0"/>
        </w:rPr>
      </w:r>
    </w:p>
    <w:p w:rsidR="00000000" w:rsidDel="00000000" w:rsidP="00000000" w:rsidRDefault="00000000" w:rsidRPr="00000000" w14:paraId="000000E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Michael. "Collective Intelligence: A Unifying Concept for Integrating Biology Across Scales and Substrates." Communications Biology 7, no. 378 (2024). </w:t>
      </w:r>
      <w:hyperlink r:id="rId34">
        <w:r w:rsidDel="00000000" w:rsidR="00000000" w:rsidRPr="00000000">
          <w:rPr>
            <w:rFonts w:ascii="Times New Roman" w:cs="Times New Roman" w:eastAsia="Times New Roman" w:hAnsi="Times New Roman"/>
            <w:color w:val="1155cc"/>
            <w:sz w:val="16"/>
            <w:szCs w:val="16"/>
            <w:u w:val="single"/>
            <w:rtl w:val="0"/>
          </w:rPr>
          <w:t xml:space="preserve">https://doi.org/10.1038/s42003-024-06037-4</w:t>
        </w:r>
      </w:hyperlink>
      <w:r w:rsidDel="00000000" w:rsidR="00000000" w:rsidRPr="00000000">
        <w:rPr>
          <w:rtl w:val="0"/>
        </w:rPr>
      </w:r>
    </w:p>
    <w:p w:rsidR="00000000" w:rsidDel="00000000" w:rsidP="00000000" w:rsidRDefault="00000000" w:rsidRPr="00000000" w14:paraId="000000E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Michael. "The Multiple Realizability of Sentience in Living Systems and Beyond." Journal of Consciousness Studies 30, no. 11-12 (2023): 185–214.</w:t>
      </w:r>
    </w:p>
    <w:p w:rsidR="00000000" w:rsidDel="00000000" w:rsidP="00000000" w:rsidRDefault="00000000" w:rsidRPr="00000000" w14:paraId="000000E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Michael, and Christopher J. Fields. "Collective Intelligence of Morphogenesis as a Teleonomic Process." Entropy 25, no. 8 (2023): 1174. </w:t>
      </w:r>
      <w:hyperlink r:id="rId35">
        <w:r w:rsidDel="00000000" w:rsidR="00000000" w:rsidRPr="00000000">
          <w:rPr>
            <w:rFonts w:ascii="Times New Roman" w:cs="Times New Roman" w:eastAsia="Times New Roman" w:hAnsi="Times New Roman"/>
            <w:color w:val="1155cc"/>
            <w:sz w:val="16"/>
            <w:szCs w:val="16"/>
            <w:u w:val="single"/>
            <w:rtl w:val="0"/>
          </w:rPr>
          <w:t xml:space="preserve">https://doi.org/10.3390/e25081174</w:t>
        </w:r>
      </w:hyperlink>
      <w:r w:rsidDel="00000000" w:rsidR="00000000" w:rsidRPr="00000000">
        <w:rPr>
          <w:rtl w:val="0"/>
        </w:rPr>
      </w:r>
    </w:p>
    <w:p w:rsidR="00000000" w:rsidDel="00000000" w:rsidP="00000000" w:rsidRDefault="00000000" w:rsidRPr="00000000" w14:paraId="000000E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Michael, and Christopher J. Fields. "Cellular Signaling Pathways as Plastic, Proto-cognitive Systems: Implications for Biomedicine." Patterns 4, no. 5 (2023): 100737. </w:t>
      </w:r>
      <w:hyperlink r:id="rId36">
        <w:r w:rsidDel="00000000" w:rsidR="00000000" w:rsidRPr="00000000">
          <w:rPr>
            <w:rFonts w:ascii="Times New Roman" w:cs="Times New Roman" w:eastAsia="Times New Roman" w:hAnsi="Times New Roman"/>
            <w:color w:val="1155cc"/>
            <w:sz w:val="16"/>
            <w:szCs w:val="16"/>
            <w:u w:val="single"/>
            <w:rtl w:val="0"/>
          </w:rPr>
          <w:t xml:space="preserve">https://doi.org/10.1016/j.patter.2023.100737</w:t>
        </w:r>
      </w:hyperlink>
      <w:r w:rsidDel="00000000" w:rsidR="00000000" w:rsidRPr="00000000">
        <w:rPr>
          <w:rtl w:val="0"/>
        </w:rPr>
      </w:r>
    </w:p>
    <w:p w:rsidR="00000000" w:rsidDel="00000000" w:rsidP="00000000" w:rsidRDefault="00000000" w:rsidRPr="00000000" w14:paraId="000000E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Levin, Michael, and Christopher J. Fields. "There's Plenty of Room Right Here: Biological Systems as Evolved, Overloaded, Multi-scale Machines." Biomimetics 8, no. 1 (2023): 175. </w:t>
      </w:r>
      <w:hyperlink r:id="rId37">
        <w:r w:rsidDel="00000000" w:rsidR="00000000" w:rsidRPr="00000000">
          <w:rPr>
            <w:rFonts w:ascii="Times New Roman" w:cs="Times New Roman" w:eastAsia="Times New Roman" w:hAnsi="Times New Roman"/>
            <w:color w:val="1155cc"/>
            <w:sz w:val="16"/>
            <w:szCs w:val="16"/>
            <w:u w:val="single"/>
            <w:rtl w:val="0"/>
          </w:rPr>
          <w:t xml:space="preserve">https://doi.org/10.3390/biomimetics8010175</w:t>
        </w:r>
      </w:hyperlink>
      <w:r w:rsidDel="00000000" w:rsidR="00000000" w:rsidRPr="00000000">
        <w:rPr>
          <w:rtl w:val="0"/>
        </w:rPr>
      </w:r>
    </w:p>
    <w:p w:rsidR="00000000" w:rsidDel="00000000" w:rsidP="00000000" w:rsidRDefault="00000000" w:rsidRPr="00000000" w14:paraId="000000E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Watson, Richard A., and Eörs Szathmáry. "Natural Induction: Spontaneous Adaptive Organisation without Natural Selection." Interface Focus 14, no. 5 (2024): 20240030. </w:t>
      </w:r>
      <w:hyperlink r:id="rId38">
        <w:r w:rsidDel="00000000" w:rsidR="00000000" w:rsidRPr="00000000">
          <w:rPr>
            <w:rFonts w:ascii="Times New Roman" w:cs="Times New Roman" w:eastAsia="Times New Roman" w:hAnsi="Times New Roman"/>
            <w:color w:val="1155cc"/>
            <w:sz w:val="16"/>
            <w:szCs w:val="16"/>
            <w:u w:val="single"/>
            <w:rtl w:val="0"/>
          </w:rPr>
          <w:t xml:space="preserve">https://doi.org/10.1098/rsfs.2024.0030</w:t>
        </w:r>
      </w:hyperlink>
      <w:r w:rsidDel="00000000" w:rsidR="00000000" w:rsidRPr="00000000">
        <w:rPr>
          <w:rtl w:val="0"/>
        </w:rPr>
      </w:r>
    </w:p>
    <w:p w:rsidR="00000000" w:rsidDel="00000000" w:rsidP="00000000" w:rsidRDefault="00000000" w:rsidRPr="00000000" w14:paraId="000000F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 Mengshu, et al. "Preparation and Intrinsic Characteristics of Cholesteric Liquid Crystal Elastomer Films Based on Polymer-Dispersed Liquid Crystal." Liquid Crystals (2025). </w:t>
      </w:r>
      <w:hyperlink r:id="rId39">
        <w:r w:rsidDel="00000000" w:rsidR="00000000" w:rsidRPr="00000000">
          <w:rPr>
            <w:rFonts w:ascii="Times New Roman" w:cs="Times New Roman" w:eastAsia="Times New Roman" w:hAnsi="Times New Roman"/>
            <w:color w:val="1155cc"/>
            <w:sz w:val="16"/>
            <w:szCs w:val="16"/>
            <w:u w:val="single"/>
            <w:rtl w:val="0"/>
          </w:rPr>
          <w:t xml:space="preserve">https://doi.org/10.1080/02678292.2025.2534613</w:t>
        </w:r>
      </w:hyperlink>
      <w:r w:rsidDel="00000000" w:rsidR="00000000" w:rsidRPr="00000000">
        <w:rPr>
          <w:rtl w:val="0"/>
        </w:rPr>
      </w:r>
    </w:p>
    <w:p w:rsidR="00000000" w:rsidDel="00000000" w:rsidP="00000000" w:rsidRDefault="00000000" w:rsidRPr="00000000" w14:paraId="000000F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Monroe, Hunter. "Are Causality Violations Undesirable?" Foundations of Physics 38, no. 11 (2008): 1065–1069. </w:t>
      </w:r>
      <w:hyperlink r:id="rId40">
        <w:r w:rsidDel="00000000" w:rsidR="00000000" w:rsidRPr="00000000">
          <w:rPr>
            <w:rFonts w:ascii="Times New Roman" w:cs="Times New Roman" w:eastAsia="Times New Roman" w:hAnsi="Times New Roman"/>
            <w:color w:val="1155cc"/>
            <w:sz w:val="16"/>
            <w:szCs w:val="16"/>
            <w:u w:val="single"/>
            <w:rtl w:val="0"/>
          </w:rPr>
          <w:t xml:space="preserve">https://doi.org/10.1007/s107</w:t>
        </w:r>
      </w:hyperlink>
      <w:r w:rsidDel="00000000" w:rsidR="00000000" w:rsidRPr="00000000">
        <w:rPr>
          <w:rFonts w:ascii="Times New Roman" w:cs="Times New Roman" w:eastAsia="Times New Roman" w:hAnsi="Times New Roman"/>
          <w:sz w:val="16"/>
          <w:szCs w:val="16"/>
          <w:rtl w:val="0"/>
        </w:rPr>
        <w:t xml:space="preserve"> 01-008-9254-9</w:t>
      </w:r>
    </w:p>
    <w:p w:rsidR="00000000" w:rsidDel="00000000" w:rsidP="00000000" w:rsidRDefault="00000000" w:rsidRPr="00000000" w14:paraId="000000F4">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5">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Qiu, Zhi, Yang Yang, and Xian Zhang. "Heterogeneous Reinforcement Learning Vibration Control of Coupling System with Four Flexible Beams Connected by Springs." Mechatronics 95 (2023): 103063. </w:t>
      </w:r>
      <w:hyperlink r:id="rId41">
        <w:r w:rsidDel="00000000" w:rsidR="00000000" w:rsidRPr="00000000">
          <w:rPr>
            <w:rFonts w:ascii="Times New Roman" w:cs="Times New Roman" w:eastAsia="Times New Roman" w:hAnsi="Times New Roman"/>
            <w:color w:val="1155cc"/>
            <w:sz w:val="16"/>
            <w:szCs w:val="16"/>
            <w:u w:val="single"/>
            <w:rtl w:val="0"/>
          </w:rPr>
          <w:t xml:space="preserve">https://doi.org/10.1016/j.mechatronics.2023.103063</w:t>
        </w:r>
      </w:hyperlink>
      <w:r w:rsidDel="00000000" w:rsidR="00000000" w:rsidRPr="00000000">
        <w:rPr>
          <w:rtl w:val="0"/>
        </w:rPr>
      </w:r>
    </w:p>
    <w:p w:rsidR="00000000" w:rsidDel="00000000" w:rsidP="00000000" w:rsidRDefault="00000000" w:rsidRPr="00000000" w14:paraId="000000F6">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7">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Sun, Minghao, Songhua Liu, and Lixin Guo. "Scattering Field Intensity and Orbital Angular Momentum Spectral Distribution of Vortex Electromagnetic Beams Scattered by Electrically Large Targets Comprising Different Materials." Remote Sensing 16, no. 5 (2024): 754. https://doi.org/10.3390/rs16050754</w:t>
      </w:r>
    </w:p>
    <w:p w:rsidR="00000000" w:rsidDel="00000000" w:rsidP="00000000" w:rsidRDefault="00000000" w:rsidRPr="00000000" w14:paraId="000000F8">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9">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Vega, José M., and Edgar Knobloch. "Dynamics of Counterpropagating Waves in Parametrically Forced, Large Aspect Ratio, Nearly Conservative Systems with Nonzero Detuning." Fluid Dynamics Research 33, no. 1-2 (2003): 113–140. </w:t>
      </w:r>
      <w:hyperlink r:id="rId42">
        <w:r w:rsidDel="00000000" w:rsidR="00000000" w:rsidRPr="00000000">
          <w:rPr>
            <w:rFonts w:ascii="Times New Roman" w:cs="Times New Roman" w:eastAsia="Times New Roman" w:hAnsi="Times New Roman"/>
            <w:color w:val="1155cc"/>
            <w:sz w:val="16"/>
            <w:szCs w:val="16"/>
            <w:u w:val="single"/>
            <w:rtl w:val="0"/>
          </w:rPr>
          <w:t xml:space="preserve">https://doi.org/10.1016/S0169-5983</w:t>
        </w:r>
      </w:hyperlink>
      <w:r w:rsidDel="00000000" w:rsidR="00000000" w:rsidRPr="00000000">
        <w:rPr>
          <w:rFonts w:ascii="Times New Roman" w:cs="Times New Roman" w:eastAsia="Times New Roman" w:hAnsi="Times New Roman"/>
          <w:sz w:val="16"/>
          <w:szCs w:val="16"/>
          <w:rtl w:val="0"/>
        </w:rPr>
        <w:t xml:space="preserve"> (03)00042-X</w:t>
      </w:r>
    </w:p>
    <w:p w:rsidR="00000000" w:rsidDel="00000000" w:rsidP="00000000" w:rsidRDefault="00000000" w:rsidRPr="00000000" w14:paraId="000000FA">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B">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Poincaré, Henri. "Cinquième Complément à l'Analysis Situs." Rendiconti del Circolo Matematico di Palermo 18, no. 1 (1904): 45–110. Yau, Shing-Tung, and Steve Nadis. The Shape of a Life: One Mathematician's Search for the Universe's Hidden Geometry. New Haven: Yale University Press, 2019.</w:t>
      </w:r>
    </w:p>
    <w:p w:rsidR="00000000" w:rsidDel="00000000" w:rsidP="00000000" w:rsidRDefault="00000000" w:rsidRPr="00000000" w14:paraId="000000FC">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D">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Adamatzky, Andrew, and Jeff Jones. "Roadplanning with Slime Mould: If Physarum Built Motorways It Would Route M6/M74 Through Newcastle." International Journal of Bifurcation and Chaos 20, no. 10 (2010): 3065–3084. </w:t>
      </w:r>
      <w:hyperlink r:id="rId43">
        <w:r w:rsidDel="00000000" w:rsidR="00000000" w:rsidRPr="00000000">
          <w:rPr>
            <w:rFonts w:ascii="Times New Roman" w:cs="Times New Roman" w:eastAsia="Times New Roman" w:hAnsi="Times New Roman"/>
            <w:color w:val="1155cc"/>
            <w:sz w:val="16"/>
            <w:szCs w:val="16"/>
            <w:u w:val="single"/>
            <w:rtl w:val="0"/>
          </w:rPr>
          <w:t xml:space="preserve">https://doi.org/10.1142/S0218127410027568</w:t>
        </w:r>
      </w:hyperlink>
      <w:r w:rsidDel="00000000" w:rsidR="00000000" w:rsidRPr="00000000">
        <w:rPr>
          <w:rtl w:val="0"/>
        </w:rPr>
      </w:r>
    </w:p>
    <w:p w:rsidR="00000000" w:rsidDel="00000000" w:rsidP="00000000" w:rsidRDefault="00000000" w:rsidRPr="00000000" w14:paraId="000000FE">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F">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Hooke, Robert. Micrographia: Or Some Physiological Descriptions of Minute Bodies Made by Magnifying Glasses. London: Royal Society,1665.</w:t>
      </w:r>
    </w:p>
    <w:p w:rsidR="00000000" w:rsidDel="00000000" w:rsidP="00000000" w:rsidRDefault="00000000" w:rsidRPr="00000000" w14:paraId="00000100">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1">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Settles, Gary S. Schlieren and Shadowgraph Techniques: Visualizing Phenomena in Transparent Media. Berlin: Springer-Verlag, 2001.</w:t>
      </w:r>
    </w:p>
    <w:p w:rsidR="00000000" w:rsidDel="00000000" w:rsidP="00000000" w:rsidRDefault="00000000" w:rsidRPr="00000000" w14:paraId="00000102">
      <w:pPr>
        <w:ind w:left="720" w:right="277.79527559055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3">
      <w:pPr>
        <w:numPr>
          <w:ilvl w:val="0"/>
          <w:numId w:val="2"/>
        </w:numPr>
        <w:ind w:left="720" w:right="277.7952755905511"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Censor, Dan. "The Generalized Doppler Effect and Applications." Journal of the Franklin Institute 295, no. 2 (1973): 103-116. Accessed September 25, 2025. https://doi.org/10.1016/0016-0032(73)90222-6.</w:t>
      </w:r>
    </w:p>
    <w:p w:rsidR="00000000" w:rsidDel="00000000" w:rsidP="00000000" w:rsidRDefault="00000000" w:rsidRPr="00000000" w14:paraId="00000104">
      <w:pPr>
        <w:rPr/>
      </w:pPr>
      <w:r w:rsidDel="00000000" w:rsidR="00000000" w:rsidRPr="00000000">
        <w:rPr>
          <w:rtl w:val="0"/>
        </w:rPr>
      </w:r>
    </w:p>
    <w:sectPr>
      <w:footerReference r:id="rId4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06">
    <w:pPr>
      <w:jc w:val="center"/>
      <w:rPr>
        <w:rFonts w:ascii="Times New Roman" w:cs="Times New Roman" w:eastAsia="Times New Roman" w:hAnsi="Times New Roman"/>
        <w:i w:val="1"/>
        <w:sz w:val="14"/>
        <w:szCs w:val="14"/>
      </w:rPr>
    </w:pPr>
    <w:r w:rsidDel="00000000" w:rsidR="00000000" w:rsidRPr="00000000">
      <w:rPr>
        <w:rFonts w:ascii="Times New Roman" w:cs="Times New Roman" w:eastAsia="Times New Roman" w:hAnsi="Times New Roman"/>
        <w:i w:val="1"/>
        <w:sz w:val="16"/>
        <w:szCs w:val="16"/>
        <w:rtl w:val="0"/>
      </w:rPr>
      <w:t xml:space="preserve">In writing</w:t>
    </w: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Mariana Valdetaro </w:t>
    </w:r>
  </w:p>
  <w:p w:rsidR="00000000" w:rsidDel="00000000" w:rsidP="00000000" w:rsidRDefault="00000000" w:rsidRPr="00000000" w14:paraId="00000108">
    <w:pPr>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E-mail address mvtta@proton.me</w:t>
    </w:r>
  </w:p>
  <w:p w:rsidR="00000000" w:rsidDel="00000000" w:rsidP="00000000" w:rsidRDefault="00000000" w:rsidRPr="00000000" w14:paraId="0000010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P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7/s107" TargetMode="External"/><Relationship Id="rId20" Type="http://schemas.openxmlformats.org/officeDocument/2006/relationships/hyperlink" Target="https://doi.org/10.3390/e26100821" TargetMode="External"/><Relationship Id="rId42" Type="http://schemas.openxmlformats.org/officeDocument/2006/relationships/hyperlink" Target="https://doi.org/10.1016/S0169-5983" TargetMode="External"/><Relationship Id="rId41" Type="http://schemas.openxmlformats.org/officeDocument/2006/relationships/hyperlink" Target="https://doi.org/10.1016/j.mechatronics.2023.103063" TargetMode="External"/><Relationship Id="rId22" Type="http://schemas.openxmlformats.org/officeDocument/2006/relationships/hyperlink" Target="https://doi.org/10.1242/jcs.14.3.523" TargetMode="External"/><Relationship Id="rId44" Type="http://schemas.openxmlformats.org/officeDocument/2006/relationships/footer" Target="footer1.xml"/><Relationship Id="rId21" Type="http://schemas.openxmlformats.org/officeDocument/2006/relationships/hyperlink" Target="https://iopscience.iop.org/article/10.1088/2399-6528/aab642" TargetMode="External"/><Relationship Id="rId43" Type="http://schemas.openxmlformats.org/officeDocument/2006/relationships/hyperlink" Target="https://doi.org/10.1142/S0218127410027568" TargetMode="External"/><Relationship Id="rId24" Type="http://schemas.openxmlformats.org/officeDocument/2006/relationships/hyperlink" Target="https://doi.org/10.1017/pab.2021.47" TargetMode="External"/><Relationship Id="rId23" Type="http://schemas.openxmlformats.org/officeDocument/2006/relationships/hyperlink" Target="https://doi.org/10.1021/acs.chemrev.2c0089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73/pnas.2307508120" TargetMode="External"/><Relationship Id="rId26" Type="http://schemas.openxmlformats.org/officeDocument/2006/relationships/hyperlink" Target="https://doi.org/10.1073/pnas.1218869110" TargetMode="External"/><Relationship Id="rId25" Type="http://schemas.openxmlformats.org/officeDocument/2006/relationships/hyperlink" Target="https://doi.org/10.1016/j.icarus.2019.0" TargetMode="External"/><Relationship Id="rId28" Type="http://schemas.openxmlformats.org/officeDocument/2006/relationships/hyperlink" Target="https://doi.org/10.1038/srep15358" TargetMode="External"/><Relationship Id="rId27" Type="http://schemas.openxmlformats.org/officeDocument/2006/relationships/hyperlink" Target="https://doi.org/10.1029/2018JC013859"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doi.org/10.1371/journal.pcbi.1002389" TargetMode="External"/><Relationship Id="rId7" Type="http://schemas.openxmlformats.org/officeDocument/2006/relationships/hyperlink" Target="https://plato.stanford.edu/archives/sum2024/entries/mathphil-indis" TargetMode="External"/><Relationship Id="rId8" Type="http://schemas.openxmlformats.org/officeDocument/2006/relationships/hyperlink" Target="https://doi.org/10.1007/b97525" TargetMode="External"/><Relationship Id="rId31" Type="http://schemas.openxmlformats.org/officeDocument/2006/relationships/hyperlink" Target="https://doi.or" TargetMode="External"/><Relationship Id="rId30" Type="http://schemas.openxmlformats.org/officeDocument/2006/relationships/hyperlink" Target="https://doi.org/10.1073/pnas.0509839103" TargetMode="External"/><Relationship Id="rId11" Type="http://schemas.openxmlformats.org/officeDocument/2006/relationships/hyperlink" Target="https://doi.org/10.1007/978-1-4471-4616-2_2" TargetMode="External"/><Relationship Id="rId33" Type="http://schemas.openxmlformats.org/officeDocument/2006/relationships/hyperlink" Target="https://doi.org/10.1063/1.4931825" TargetMode="External"/><Relationship Id="rId10" Type="http://schemas.openxmlformats.org/officeDocument/2006/relationships/hyperlink" Target="https://doi.org/10.3389/fnbot.2022.851471" TargetMode="External"/><Relationship Id="rId32" Type="http://schemas.openxmlformats.org/officeDocument/2006/relationships/hyperlink" Target="https://doi.org/10.1016/0378-4754(96)80476-9" TargetMode="External"/><Relationship Id="rId13" Type="http://schemas.openxmlformats.org/officeDocument/2006/relationships/hyperlink" Target="http://www.jstor.org/stable/4182008" TargetMode="External"/><Relationship Id="rId35" Type="http://schemas.openxmlformats.org/officeDocument/2006/relationships/hyperlink" Target="https://doi.org/10.3390/e25081174" TargetMode="External"/><Relationship Id="rId12" Type="http://schemas.openxmlformats.org/officeDocument/2006/relationships/hyperlink" Target="https://archive.org/details/B-001-001-219" TargetMode="External"/><Relationship Id="rId34" Type="http://schemas.openxmlformats.org/officeDocument/2006/relationships/hyperlink" Target="https://doi.org/10.1038/s42003-024-06037-4" TargetMode="External"/><Relationship Id="rId15" Type="http://schemas.openxmlformats.org/officeDocument/2006/relationships/hyperlink" Target="https://doi.org/10.3389/fnint.2023.1057622" TargetMode="External"/><Relationship Id="rId37" Type="http://schemas.openxmlformats.org/officeDocument/2006/relationships/hyperlink" Target="https://doi.org/10.3390/biomimetics8010175" TargetMode="External"/><Relationship Id="rId14" Type="http://schemas.openxmlformats.org/officeDocument/2006/relationships/hyperlink" Target="https://www.earlymoderntexts.com/assets/pdfs/descartes1649.pdf" TargetMode="External"/><Relationship Id="rId36" Type="http://schemas.openxmlformats.org/officeDocument/2006/relationships/hyperlink" Target="https://doi.org/10.1016/j.patter.2023.100737" TargetMode="External"/><Relationship Id="rId17" Type="http://schemas.openxmlformats.org/officeDocument/2006/relationships/hyperlink" Target="https://doi.org/10.1016/j.pbiomolbio.2015.08.016" TargetMode="External"/><Relationship Id="rId39" Type="http://schemas.openxmlformats.org/officeDocument/2006/relationships/hyperlink" Target="https://doi.org/10.1080/02678292.2025.2534613" TargetMode="External"/><Relationship Id="rId16" Type="http://schemas.openxmlformats.org/officeDocument/2006/relationships/hyperlink" Target="https://doi.org/10.1007/s10071-023-01780-3" TargetMode="External"/><Relationship Id="rId38" Type="http://schemas.openxmlformats.org/officeDocument/2006/relationships/hyperlink" Target="https://doi.org/10.1098/rsfs.2024.0030" TargetMode="External"/><Relationship Id="rId19" Type="http://schemas.openxmlformats.org/officeDocument/2006/relationships/hyperlink" Target="https://help.altair.com/2021/feko/topics/feko/user_guide/cadfeko/ngf_reduce_cpu_time_feko_t-cadfeko.htm" TargetMode="External"/><Relationship Id="rId18" Type="http://schemas.openxmlformats.org/officeDocument/2006/relationships/hyperlink" Target="https://doi.org/10.1103/PhysRevE.56.6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